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B7139" w14:textId="57418251" w:rsidR="00152C07" w:rsidRDefault="00152C07" w:rsidP="00152C07">
      <w:pPr>
        <w:pStyle w:val="paragraph"/>
        <w:jc w:val="center"/>
        <w:textAlignment w:val="baseline"/>
        <w:rPr>
          <w:color w:val="2F5496"/>
        </w:rPr>
      </w:pPr>
      <w:r>
        <w:rPr>
          <w:noProof/>
        </w:rPr>
        <w:drawing>
          <wp:inline distT="0" distB="0" distL="0" distR="0" wp14:anchorId="790B5FD4" wp14:editId="40BC333E">
            <wp:extent cx="970915" cy="619760"/>
            <wp:effectExtent l="0" t="0" r="635" b="8890"/>
            <wp:docPr id="1" name="Picture 1" descr="A blue and whit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970915" cy="619760"/>
                    </a:xfrm>
                    <a:prstGeom prst="rect">
                      <a:avLst/>
                    </a:prstGeom>
                  </pic:spPr>
                </pic:pic>
              </a:graphicData>
            </a:graphic>
          </wp:inline>
        </w:drawing>
      </w:r>
    </w:p>
    <w:p w14:paraId="63536209" w14:textId="77777777" w:rsidR="00152C07" w:rsidRDefault="00152C07" w:rsidP="00152C07">
      <w:pPr>
        <w:pStyle w:val="paragraph"/>
        <w:jc w:val="center"/>
        <w:textAlignment w:val="baseline"/>
      </w:pPr>
      <w:r>
        <w:rPr>
          <w:rStyle w:val="eop"/>
          <w:rFonts w:ascii="Verdana" w:hAnsi="Verdana"/>
          <w:color w:val="2F5496"/>
          <w:sz w:val="32"/>
          <w:szCs w:val="32"/>
        </w:rPr>
        <w:t> </w:t>
      </w:r>
    </w:p>
    <w:p w14:paraId="10E4D44E" w14:textId="77777777" w:rsidR="00152C07" w:rsidRDefault="00152C07" w:rsidP="00152C07">
      <w:pPr>
        <w:pStyle w:val="NormalWeb"/>
        <w:jc w:val="center"/>
        <w:rPr>
          <w:rFonts w:ascii="Verdana" w:hAnsi="Verdana"/>
          <w:b/>
          <w:bCs/>
          <w:color w:val="5B9BD5" w:themeColor="accent5"/>
          <w:sz w:val="32"/>
          <w:szCs w:val="32"/>
        </w:rPr>
      </w:pPr>
    </w:p>
    <w:p w14:paraId="3B217DB8" w14:textId="77777777" w:rsidR="006928E5" w:rsidRDefault="006928E5" w:rsidP="005C4809">
      <w:pPr>
        <w:pStyle w:val="NormalWeb"/>
        <w:rPr>
          <w:rFonts w:ascii="Verdana" w:hAnsi="Verdana"/>
          <w:b/>
          <w:bCs/>
          <w:color w:val="2F5496" w:themeColor="accent1" w:themeShade="BF"/>
          <w:sz w:val="32"/>
          <w:szCs w:val="32"/>
        </w:rPr>
      </w:pPr>
    </w:p>
    <w:p w14:paraId="63865FD4" w14:textId="77777777" w:rsidR="006928E5" w:rsidRDefault="006928E5" w:rsidP="00152C07">
      <w:pPr>
        <w:pStyle w:val="NormalWeb"/>
        <w:jc w:val="center"/>
        <w:rPr>
          <w:rFonts w:ascii="Verdana" w:hAnsi="Verdana"/>
          <w:b/>
          <w:bCs/>
          <w:color w:val="2F5496" w:themeColor="accent1" w:themeShade="BF"/>
          <w:sz w:val="32"/>
          <w:szCs w:val="32"/>
        </w:rPr>
      </w:pPr>
    </w:p>
    <w:p w14:paraId="35B1706E" w14:textId="0EE0DCE1" w:rsidR="00152C07" w:rsidRPr="00A404A3" w:rsidRDefault="00152C07" w:rsidP="00152C07">
      <w:pPr>
        <w:pStyle w:val="NormalWeb"/>
        <w:jc w:val="center"/>
        <w:rPr>
          <w:rFonts w:ascii="Verdana" w:hAnsi="Verdana"/>
          <w:b/>
          <w:bCs/>
          <w:color w:val="2F5496" w:themeColor="accent1" w:themeShade="BF"/>
          <w:sz w:val="32"/>
          <w:szCs w:val="32"/>
        </w:rPr>
      </w:pPr>
      <w:r w:rsidRPr="00A404A3">
        <w:rPr>
          <w:rFonts w:ascii="Verdana" w:hAnsi="Verdana"/>
          <w:b/>
          <w:bCs/>
          <w:color w:val="2F5496" w:themeColor="accent1" w:themeShade="BF"/>
          <w:sz w:val="32"/>
          <w:szCs w:val="32"/>
        </w:rPr>
        <w:t>Disability Federation of Ireland</w:t>
      </w:r>
    </w:p>
    <w:p w14:paraId="7332F95C" w14:textId="77777777" w:rsidR="00152C07" w:rsidRPr="00A404A3" w:rsidRDefault="00152C07" w:rsidP="00152C07">
      <w:pPr>
        <w:pStyle w:val="NormalWeb"/>
        <w:rPr>
          <w:rFonts w:ascii="Verdana" w:hAnsi="Verdana"/>
          <w:b/>
          <w:bCs/>
          <w:color w:val="2F5496" w:themeColor="accent1" w:themeShade="BF"/>
          <w:sz w:val="32"/>
          <w:szCs w:val="32"/>
        </w:rPr>
      </w:pPr>
    </w:p>
    <w:p w14:paraId="0595309E" w14:textId="77777777" w:rsidR="00152C07" w:rsidRDefault="00152C07" w:rsidP="00152C07">
      <w:pPr>
        <w:pStyle w:val="NormalWeb"/>
        <w:jc w:val="center"/>
        <w:rPr>
          <w:rFonts w:ascii="Verdana" w:hAnsi="Verdana"/>
          <w:b/>
          <w:bCs/>
          <w:color w:val="2F5496" w:themeColor="accent1" w:themeShade="BF"/>
          <w:sz w:val="32"/>
          <w:szCs w:val="32"/>
        </w:rPr>
      </w:pPr>
    </w:p>
    <w:p w14:paraId="3347A376" w14:textId="77777777" w:rsidR="00834EC8" w:rsidRPr="00A404A3" w:rsidRDefault="00834EC8" w:rsidP="00152C07">
      <w:pPr>
        <w:pStyle w:val="NormalWeb"/>
        <w:jc w:val="center"/>
        <w:rPr>
          <w:rFonts w:ascii="Verdana" w:hAnsi="Verdana"/>
          <w:b/>
          <w:bCs/>
          <w:color w:val="2F5496" w:themeColor="accent1" w:themeShade="BF"/>
          <w:sz w:val="32"/>
          <w:szCs w:val="32"/>
        </w:rPr>
      </w:pPr>
    </w:p>
    <w:p w14:paraId="4776C9FB" w14:textId="77777777" w:rsidR="00152C07" w:rsidRPr="00A404A3" w:rsidRDefault="00152C07" w:rsidP="00152C07">
      <w:pPr>
        <w:pStyle w:val="NormalWeb"/>
        <w:jc w:val="center"/>
        <w:rPr>
          <w:rFonts w:ascii="Verdana" w:hAnsi="Verdana"/>
          <w:b/>
          <w:bCs/>
          <w:color w:val="2F5496" w:themeColor="accent1" w:themeShade="BF"/>
          <w:sz w:val="32"/>
          <w:szCs w:val="32"/>
        </w:rPr>
      </w:pPr>
      <w:r w:rsidRPr="00A404A3">
        <w:rPr>
          <w:rFonts w:ascii="Verdana" w:hAnsi="Verdana"/>
          <w:b/>
          <w:bCs/>
          <w:color w:val="2F5496" w:themeColor="accent1" w:themeShade="BF"/>
          <w:sz w:val="32"/>
          <w:szCs w:val="32"/>
        </w:rPr>
        <w:t>Submission to</w:t>
      </w:r>
    </w:p>
    <w:p w14:paraId="332F7EF2" w14:textId="72F824DC" w:rsidR="00152C07" w:rsidRPr="00A404A3" w:rsidRDefault="00152C07" w:rsidP="00152C07">
      <w:pPr>
        <w:pStyle w:val="NormalWeb"/>
        <w:jc w:val="center"/>
        <w:rPr>
          <w:rFonts w:ascii="Verdana" w:hAnsi="Verdana"/>
          <w:b/>
          <w:bCs/>
          <w:color w:val="2F5496" w:themeColor="accent1" w:themeShade="BF"/>
          <w:sz w:val="32"/>
          <w:szCs w:val="32"/>
        </w:rPr>
      </w:pPr>
      <w:r w:rsidRPr="00A404A3">
        <w:rPr>
          <w:rFonts w:ascii="Verdana" w:hAnsi="Verdana"/>
          <w:b/>
          <w:bCs/>
          <w:color w:val="2F5496" w:themeColor="accent1" w:themeShade="BF"/>
          <w:sz w:val="32"/>
          <w:szCs w:val="32"/>
        </w:rPr>
        <w:t>Department of Social Protection</w:t>
      </w:r>
    </w:p>
    <w:p w14:paraId="4025DECF" w14:textId="1FFA4503" w:rsidR="00152C07" w:rsidRPr="00A404A3" w:rsidRDefault="00E84255" w:rsidP="00152C07">
      <w:pPr>
        <w:pStyle w:val="NormalWeb"/>
        <w:jc w:val="center"/>
        <w:rPr>
          <w:rFonts w:ascii="Verdana" w:hAnsi="Verdana"/>
          <w:b/>
          <w:bCs/>
          <w:color w:val="2F5496" w:themeColor="accent1" w:themeShade="BF"/>
          <w:sz w:val="32"/>
          <w:szCs w:val="32"/>
        </w:rPr>
      </w:pPr>
      <w:r w:rsidRPr="00A404A3">
        <w:rPr>
          <w:rFonts w:ascii="Verdana" w:hAnsi="Verdana"/>
          <w:b/>
          <w:bCs/>
          <w:color w:val="2F5496" w:themeColor="accent1" w:themeShade="BF"/>
          <w:sz w:val="32"/>
          <w:szCs w:val="32"/>
        </w:rPr>
        <w:t>on</w:t>
      </w:r>
    </w:p>
    <w:p w14:paraId="07E17D53" w14:textId="7266B7A6" w:rsidR="00152C07" w:rsidRPr="00A404A3" w:rsidRDefault="00152C07" w:rsidP="00152C07">
      <w:pPr>
        <w:pStyle w:val="NormalWeb"/>
        <w:jc w:val="center"/>
        <w:rPr>
          <w:rFonts w:ascii="Verdana" w:hAnsi="Verdana"/>
          <w:b/>
          <w:bCs/>
          <w:color w:val="2F5496" w:themeColor="accent1" w:themeShade="BF"/>
          <w:sz w:val="32"/>
          <w:szCs w:val="32"/>
        </w:rPr>
      </w:pPr>
      <w:r w:rsidRPr="00A404A3">
        <w:rPr>
          <w:rFonts w:ascii="Verdana" w:hAnsi="Verdana"/>
          <w:b/>
          <w:bCs/>
          <w:color w:val="2F5496" w:themeColor="accent1" w:themeShade="BF"/>
          <w:sz w:val="32"/>
          <w:szCs w:val="32"/>
        </w:rPr>
        <w:t>Budget 202</w:t>
      </w:r>
      <w:r w:rsidR="009D461D">
        <w:rPr>
          <w:rFonts w:ascii="Verdana" w:hAnsi="Verdana"/>
          <w:b/>
          <w:bCs/>
          <w:color w:val="2F5496" w:themeColor="accent1" w:themeShade="BF"/>
          <w:sz w:val="32"/>
          <w:szCs w:val="32"/>
        </w:rPr>
        <w:t>5</w:t>
      </w:r>
    </w:p>
    <w:p w14:paraId="70918F9F" w14:textId="77777777" w:rsidR="00152C07" w:rsidRPr="00A404A3" w:rsidRDefault="00152C07" w:rsidP="00152C07">
      <w:pPr>
        <w:pStyle w:val="NormalWeb"/>
        <w:jc w:val="center"/>
        <w:rPr>
          <w:rFonts w:ascii="Verdana" w:hAnsi="Verdana"/>
          <w:b/>
          <w:bCs/>
          <w:color w:val="2F5496" w:themeColor="accent1" w:themeShade="BF"/>
          <w:sz w:val="32"/>
          <w:szCs w:val="32"/>
        </w:rPr>
      </w:pPr>
    </w:p>
    <w:p w14:paraId="1B3FC8FD" w14:textId="77777777" w:rsidR="00152C07" w:rsidRPr="00A404A3" w:rsidRDefault="00152C07" w:rsidP="00152C07">
      <w:pPr>
        <w:pStyle w:val="NormalWeb"/>
        <w:rPr>
          <w:rFonts w:ascii="Verdana" w:hAnsi="Verdana"/>
          <w:b/>
          <w:bCs/>
          <w:color w:val="2F5496" w:themeColor="accent1" w:themeShade="BF"/>
          <w:sz w:val="32"/>
          <w:szCs w:val="32"/>
        </w:rPr>
      </w:pPr>
    </w:p>
    <w:p w14:paraId="790E600F" w14:textId="77777777" w:rsidR="00152C07" w:rsidRPr="00A404A3" w:rsidRDefault="00152C07" w:rsidP="00152C07">
      <w:pPr>
        <w:pStyle w:val="NormalWeb"/>
        <w:jc w:val="center"/>
        <w:rPr>
          <w:rFonts w:ascii="Verdana" w:hAnsi="Verdana"/>
          <w:b/>
          <w:bCs/>
          <w:color w:val="2F5496" w:themeColor="accent1" w:themeShade="BF"/>
          <w:sz w:val="32"/>
          <w:szCs w:val="32"/>
        </w:rPr>
      </w:pPr>
    </w:p>
    <w:p w14:paraId="37880A99" w14:textId="237A1EC5" w:rsidR="00152C07" w:rsidRPr="00A404A3" w:rsidRDefault="00152C07" w:rsidP="000364BA">
      <w:pPr>
        <w:pStyle w:val="NormalWeb"/>
        <w:rPr>
          <w:rFonts w:ascii="Verdana" w:hAnsi="Verdana"/>
          <w:b/>
          <w:bCs/>
          <w:color w:val="2F5496" w:themeColor="accent1" w:themeShade="BF"/>
          <w:sz w:val="32"/>
          <w:szCs w:val="32"/>
        </w:rPr>
      </w:pPr>
    </w:p>
    <w:p w14:paraId="7573BD1F" w14:textId="19B0F892" w:rsidR="00152C07" w:rsidRDefault="00152C07" w:rsidP="003B45FA">
      <w:pPr>
        <w:jc w:val="center"/>
        <w:rPr>
          <w:rFonts w:ascii="Verdana" w:hAnsi="Verdana"/>
          <w:b/>
          <w:bCs/>
          <w:sz w:val="24"/>
          <w:szCs w:val="24"/>
          <w:lang w:val="en-GB"/>
        </w:rPr>
      </w:pPr>
    </w:p>
    <w:p w14:paraId="353CCA30" w14:textId="78256269" w:rsidR="00152C07" w:rsidRDefault="00152C07" w:rsidP="003B45FA">
      <w:pPr>
        <w:jc w:val="center"/>
        <w:rPr>
          <w:rFonts w:ascii="Verdana" w:hAnsi="Verdana"/>
          <w:b/>
          <w:bCs/>
          <w:sz w:val="24"/>
          <w:szCs w:val="24"/>
          <w:lang w:val="en-GB"/>
        </w:rPr>
      </w:pPr>
    </w:p>
    <w:p w14:paraId="4D3D4137" w14:textId="41FBCA8D" w:rsidR="00152C07" w:rsidRDefault="00152C07" w:rsidP="003B45FA">
      <w:pPr>
        <w:jc w:val="center"/>
        <w:rPr>
          <w:rFonts w:ascii="Verdana" w:hAnsi="Verdana"/>
          <w:b/>
          <w:bCs/>
          <w:sz w:val="24"/>
          <w:szCs w:val="24"/>
          <w:lang w:val="en-GB"/>
        </w:rPr>
      </w:pPr>
    </w:p>
    <w:sdt>
      <w:sdtPr>
        <w:rPr>
          <w:rFonts w:asciiTheme="minorHAnsi" w:eastAsiaTheme="minorHAnsi" w:hAnsiTheme="minorHAnsi" w:cstheme="minorBidi"/>
          <w:color w:val="auto"/>
          <w:sz w:val="22"/>
          <w:szCs w:val="22"/>
          <w:lang w:val="en-GB" w:eastAsia="en-US"/>
        </w:rPr>
        <w:id w:val="-1889946526"/>
        <w:docPartObj>
          <w:docPartGallery w:val="Table of Contents"/>
          <w:docPartUnique/>
        </w:docPartObj>
      </w:sdtPr>
      <w:sdtEndPr>
        <w:rPr>
          <w:b/>
          <w:bCs/>
        </w:rPr>
      </w:sdtEndPr>
      <w:sdtContent>
        <w:p w14:paraId="4C4E7A81" w14:textId="0BD00DC7" w:rsidR="00DF012D" w:rsidRPr="0000694A" w:rsidRDefault="00DF012D">
          <w:pPr>
            <w:pStyle w:val="TOCHeading"/>
            <w:rPr>
              <w:rFonts w:ascii="Verdana" w:hAnsi="Verdana"/>
              <w:sz w:val="24"/>
              <w:szCs w:val="24"/>
            </w:rPr>
          </w:pPr>
          <w:r w:rsidRPr="0000694A">
            <w:rPr>
              <w:rFonts w:ascii="Verdana" w:hAnsi="Verdana"/>
              <w:sz w:val="24"/>
              <w:szCs w:val="24"/>
              <w:lang w:val="en-GB"/>
            </w:rPr>
            <w:t>Contents</w:t>
          </w:r>
        </w:p>
        <w:p w14:paraId="25BCBC95" w14:textId="0260A930" w:rsidR="0000694A" w:rsidRPr="0000694A" w:rsidRDefault="00DF012D">
          <w:pPr>
            <w:pStyle w:val="TOC1"/>
            <w:tabs>
              <w:tab w:val="right" w:leader="dot" w:pos="9016"/>
            </w:tabs>
            <w:rPr>
              <w:rFonts w:ascii="Verdana" w:eastAsiaTheme="minorEastAsia" w:hAnsi="Verdana"/>
              <w:noProof/>
              <w:kern w:val="2"/>
              <w:sz w:val="24"/>
              <w:szCs w:val="24"/>
              <w:lang w:eastAsia="en-IE"/>
              <w14:ligatures w14:val="standardContextual"/>
            </w:rPr>
          </w:pPr>
          <w:r w:rsidRPr="0000694A">
            <w:rPr>
              <w:rFonts w:ascii="Verdana" w:hAnsi="Verdana"/>
              <w:sz w:val="24"/>
              <w:szCs w:val="24"/>
            </w:rPr>
            <w:fldChar w:fldCharType="begin"/>
          </w:r>
          <w:r w:rsidRPr="0000694A">
            <w:rPr>
              <w:rFonts w:ascii="Verdana" w:hAnsi="Verdana"/>
              <w:sz w:val="24"/>
              <w:szCs w:val="24"/>
            </w:rPr>
            <w:instrText xml:space="preserve"> TOC \o "1-3" \h \z \u </w:instrText>
          </w:r>
          <w:r w:rsidRPr="0000694A">
            <w:rPr>
              <w:rFonts w:ascii="Verdana" w:hAnsi="Verdana"/>
              <w:sz w:val="24"/>
              <w:szCs w:val="24"/>
            </w:rPr>
            <w:fldChar w:fldCharType="separate"/>
          </w:r>
          <w:hyperlink w:anchor="_Toc171069192" w:history="1">
            <w:r w:rsidR="0000694A" w:rsidRPr="0000694A">
              <w:rPr>
                <w:rStyle w:val="Hyperlink"/>
                <w:rFonts w:ascii="Verdana" w:hAnsi="Verdana"/>
                <w:noProof/>
                <w:sz w:val="24"/>
                <w:szCs w:val="24"/>
              </w:rPr>
              <w:t>Executive Summary and Budget 2025 Asks</w:t>
            </w:r>
            <w:r w:rsidR="0000694A" w:rsidRPr="0000694A">
              <w:rPr>
                <w:rFonts w:ascii="Verdana" w:hAnsi="Verdana"/>
                <w:noProof/>
                <w:webHidden/>
                <w:sz w:val="24"/>
                <w:szCs w:val="24"/>
              </w:rPr>
              <w:tab/>
            </w:r>
            <w:r w:rsidR="0000694A" w:rsidRPr="0000694A">
              <w:rPr>
                <w:rFonts w:ascii="Verdana" w:hAnsi="Verdana"/>
                <w:noProof/>
                <w:webHidden/>
                <w:sz w:val="24"/>
                <w:szCs w:val="24"/>
              </w:rPr>
              <w:fldChar w:fldCharType="begin"/>
            </w:r>
            <w:r w:rsidR="0000694A" w:rsidRPr="0000694A">
              <w:rPr>
                <w:rFonts w:ascii="Verdana" w:hAnsi="Verdana"/>
                <w:noProof/>
                <w:webHidden/>
                <w:sz w:val="24"/>
                <w:szCs w:val="24"/>
              </w:rPr>
              <w:instrText xml:space="preserve"> PAGEREF _Toc171069192 \h </w:instrText>
            </w:r>
            <w:r w:rsidR="0000694A" w:rsidRPr="0000694A">
              <w:rPr>
                <w:rFonts w:ascii="Verdana" w:hAnsi="Verdana"/>
                <w:noProof/>
                <w:webHidden/>
                <w:sz w:val="24"/>
                <w:szCs w:val="24"/>
              </w:rPr>
            </w:r>
            <w:r w:rsidR="0000694A" w:rsidRPr="0000694A">
              <w:rPr>
                <w:rFonts w:ascii="Verdana" w:hAnsi="Verdana"/>
                <w:noProof/>
                <w:webHidden/>
                <w:sz w:val="24"/>
                <w:szCs w:val="24"/>
              </w:rPr>
              <w:fldChar w:fldCharType="separate"/>
            </w:r>
            <w:r w:rsidR="00A020F3">
              <w:rPr>
                <w:rFonts w:ascii="Verdana" w:hAnsi="Verdana"/>
                <w:noProof/>
                <w:webHidden/>
                <w:sz w:val="24"/>
                <w:szCs w:val="24"/>
              </w:rPr>
              <w:t>2</w:t>
            </w:r>
            <w:r w:rsidR="0000694A" w:rsidRPr="0000694A">
              <w:rPr>
                <w:rFonts w:ascii="Verdana" w:hAnsi="Verdana"/>
                <w:noProof/>
                <w:webHidden/>
                <w:sz w:val="24"/>
                <w:szCs w:val="24"/>
              </w:rPr>
              <w:fldChar w:fldCharType="end"/>
            </w:r>
          </w:hyperlink>
        </w:p>
        <w:p w14:paraId="549B6031" w14:textId="36C8E93C" w:rsidR="0000694A" w:rsidRPr="0000694A" w:rsidRDefault="0000694A">
          <w:pPr>
            <w:pStyle w:val="TOC1"/>
            <w:tabs>
              <w:tab w:val="right" w:leader="dot" w:pos="9016"/>
            </w:tabs>
            <w:rPr>
              <w:rFonts w:ascii="Verdana" w:eastAsiaTheme="minorEastAsia" w:hAnsi="Verdana"/>
              <w:noProof/>
              <w:kern w:val="2"/>
              <w:sz w:val="24"/>
              <w:szCs w:val="24"/>
              <w:lang w:eastAsia="en-IE"/>
              <w14:ligatures w14:val="standardContextual"/>
            </w:rPr>
          </w:pPr>
          <w:hyperlink w:anchor="_Toc171069193" w:history="1">
            <w:r w:rsidRPr="0000694A">
              <w:rPr>
                <w:rStyle w:val="Hyperlink"/>
                <w:rFonts w:ascii="Verdana" w:hAnsi="Verdana"/>
                <w:noProof/>
                <w:sz w:val="24"/>
                <w:szCs w:val="24"/>
                <w:lang w:val="en-GB"/>
              </w:rPr>
              <w:t>Introduction</w:t>
            </w:r>
            <w:r w:rsidRPr="0000694A">
              <w:rPr>
                <w:rFonts w:ascii="Verdana" w:hAnsi="Verdana"/>
                <w:noProof/>
                <w:webHidden/>
                <w:sz w:val="24"/>
                <w:szCs w:val="24"/>
              </w:rPr>
              <w:tab/>
            </w:r>
            <w:r w:rsidRPr="0000694A">
              <w:rPr>
                <w:rFonts w:ascii="Verdana" w:hAnsi="Verdana"/>
                <w:noProof/>
                <w:webHidden/>
                <w:sz w:val="24"/>
                <w:szCs w:val="24"/>
              </w:rPr>
              <w:fldChar w:fldCharType="begin"/>
            </w:r>
            <w:r w:rsidRPr="0000694A">
              <w:rPr>
                <w:rFonts w:ascii="Verdana" w:hAnsi="Verdana"/>
                <w:noProof/>
                <w:webHidden/>
                <w:sz w:val="24"/>
                <w:szCs w:val="24"/>
              </w:rPr>
              <w:instrText xml:space="preserve"> PAGEREF _Toc171069193 \h </w:instrText>
            </w:r>
            <w:r w:rsidRPr="0000694A">
              <w:rPr>
                <w:rFonts w:ascii="Verdana" w:hAnsi="Verdana"/>
                <w:noProof/>
                <w:webHidden/>
                <w:sz w:val="24"/>
                <w:szCs w:val="24"/>
              </w:rPr>
            </w:r>
            <w:r w:rsidRPr="0000694A">
              <w:rPr>
                <w:rFonts w:ascii="Verdana" w:hAnsi="Verdana"/>
                <w:noProof/>
                <w:webHidden/>
                <w:sz w:val="24"/>
                <w:szCs w:val="24"/>
              </w:rPr>
              <w:fldChar w:fldCharType="separate"/>
            </w:r>
            <w:r w:rsidR="00A020F3">
              <w:rPr>
                <w:rFonts w:ascii="Verdana" w:hAnsi="Verdana"/>
                <w:noProof/>
                <w:webHidden/>
                <w:sz w:val="24"/>
                <w:szCs w:val="24"/>
              </w:rPr>
              <w:t>6</w:t>
            </w:r>
            <w:r w:rsidRPr="0000694A">
              <w:rPr>
                <w:rFonts w:ascii="Verdana" w:hAnsi="Verdana"/>
                <w:noProof/>
                <w:webHidden/>
                <w:sz w:val="24"/>
                <w:szCs w:val="24"/>
              </w:rPr>
              <w:fldChar w:fldCharType="end"/>
            </w:r>
          </w:hyperlink>
        </w:p>
        <w:p w14:paraId="67C61D40" w14:textId="5E0D3308" w:rsidR="0000694A" w:rsidRPr="0000694A" w:rsidRDefault="0000694A">
          <w:pPr>
            <w:pStyle w:val="TOC2"/>
            <w:tabs>
              <w:tab w:val="right" w:leader="dot" w:pos="9016"/>
            </w:tabs>
            <w:rPr>
              <w:rFonts w:ascii="Verdana" w:eastAsiaTheme="minorEastAsia" w:hAnsi="Verdana"/>
              <w:noProof/>
              <w:kern w:val="2"/>
              <w:sz w:val="24"/>
              <w:szCs w:val="24"/>
              <w:lang w:eastAsia="en-IE"/>
              <w14:ligatures w14:val="standardContextual"/>
            </w:rPr>
          </w:pPr>
          <w:hyperlink w:anchor="_Toc171069194" w:history="1">
            <w:r w:rsidRPr="0000694A">
              <w:rPr>
                <w:rStyle w:val="Hyperlink"/>
                <w:rFonts w:ascii="Verdana" w:hAnsi="Verdana"/>
                <w:noProof/>
                <w:sz w:val="24"/>
                <w:szCs w:val="24"/>
                <w:lang w:val="en-GB"/>
              </w:rPr>
              <w:t>Updating the Evidence</w:t>
            </w:r>
            <w:r w:rsidRPr="0000694A">
              <w:rPr>
                <w:rFonts w:ascii="Verdana" w:hAnsi="Verdana"/>
                <w:noProof/>
                <w:webHidden/>
                <w:sz w:val="24"/>
                <w:szCs w:val="24"/>
              </w:rPr>
              <w:tab/>
            </w:r>
            <w:r w:rsidRPr="0000694A">
              <w:rPr>
                <w:rFonts w:ascii="Verdana" w:hAnsi="Verdana"/>
                <w:noProof/>
                <w:webHidden/>
                <w:sz w:val="24"/>
                <w:szCs w:val="24"/>
              </w:rPr>
              <w:fldChar w:fldCharType="begin"/>
            </w:r>
            <w:r w:rsidRPr="0000694A">
              <w:rPr>
                <w:rFonts w:ascii="Verdana" w:hAnsi="Verdana"/>
                <w:noProof/>
                <w:webHidden/>
                <w:sz w:val="24"/>
                <w:szCs w:val="24"/>
              </w:rPr>
              <w:instrText xml:space="preserve"> PAGEREF _Toc171069194 \h </w:instrText>
            </w:r>
            <w:r w:rsidRPr="0000694A">
              <w:rPr>
                <w:rFonts w:ascii="Verdana" w:hAnsi="Verdana"/>
                <w:noProof/>
                <w:webHidden/>
                <w:sz w:val="24"/>
                <w:szCs w:val="24"/>
              </w:rPr>
            </w:r>
            <w:r w:rsidRPr="0000694A">
              <w:rPr>
                <w:rFonts w:ascii="Verdana" w:hAnsi="Verdana"/>
                <w:noProof/>
                <w:webHidden/>
                <w:sz w:val="24"/>
                <w:szCs w:val="24"/>
              </w:rPr>
              <w:fldChar w:fldCharType="separate"/>
            </w:r>
            <w:r w:rsidR="00A020F3">
              <w:rPr>
                <w:rFonts w:ascii="Verdana" w:hAnsi="Verdana"/>
                <w:noProof/>
                <w:webHidden/>
                <w:sz w:val="24"/>
                <w:szCs w:val="24"/>
              </w:rPr>
              <w:t>6</w:t>
            </w:r>
            <w:r w:rsidRPr="0000694A">
              <w:rPr>
                <w:rFonts w:ascii="Verdana" w:hAnsi="Verdana"/>
                <w:noProof/>
                <w:webHidden/>
                <w:sz w:val="24"/>
                <w:szCs w:val="24"/>
              </w:rPr>
              <w:fldChar w:fldCharType="end"/>
            </w:r>
          </w:hyperlink>
        </w:p>
        <w:p w14:paraId="365D1E35" w14:textId="2D684603" w:rsidR="0000694A" w:rsidRPr="0000694A" w:rsidRDefault="0000694A">
          <w:pPr>
            <w:pStyle w:val="TOC2"/>
            <w:tabs>
              <w:tab w:val="right" w:leader="dot" w:pos="9016"/>
            </w:tabs>
            <w:rPr>
              <w:rFonts w:ascii="Verdana" w:eastAsiaTheme="minorEastAsia" w:hAnsi="Verdana"/>
              <w:noProof/>
              <w:kern w:val="2"/>
              <w:sz w:val="24"/>
              <w:szCs w:val="24"/>
              <w:lang w:eastAsia="en-IE"/>
              <w14:ligatures w14:val="standardContextual"/>
            </w:rPr>
          </w:pPr>
          <w:hyperlink w:anchor="_Toc171069195" w:history="1">
            <w:r w:rsidRPr="0000694A">
              <w:rPr>
                <w:rStyle w:val="Hyperlink"/>
                <w:rFonts w:ascii="Verdana" w:hAnsi="Verdana"/>
                <w:noProof/>
                <w:sz w:val="24"/>
                <w:szCs w:val="24"/>
              </w:rPr>
              <w:t>The Fundamentals: UN CRPD Commitments</w:t>
            </w:r>
            <w:r w:rsidRPr="0000694A">
              <w:rPr>
                <w:rFonts w:ascii="Verdana" w:hAnsi="Verdana"/>
                <w:noProof/>
                <w:webHidden/>
                <w:sz w:val="24"/>
                <w:szCs w:val="24"/>
              </w:rPr>
              <w:tab/>
            </w:r>
            <w:r w:rsidRPr="0000694A">
              <w:rPr>
                <w:rFonts w:ascii="Verdana" w:hAnsi="Verdana"/>
                <w:noProof/>
                <w:webHidden/>
                <w:sz w:val="24"/>
                <w:szCs w:val="24"/>
              </w:rPr>
              <w:fldChar w:fldCharType="begin"/>
            </w:r>
            <w:r w:rsidRPr="0000694A">
              <w:rPr>
                <w:rFonts w:ascii="Verdana" w:hAnsi="Verdana"/>
                <w:noProof/>
                <w:webHidden/>
                <w:sz w:val="24"/>
                <w:szCs w:val="24"/>
              </w:rPr>
              <w:instrText xml:space="preserve"> PAGEREF _Toc171069195 \h </w:instrText>
            </w:r>
            <w:r w:rsidRPr="0000694A">
              <w:rPr>
                <w:rFonts w:ascii="Verdana" w:hAnsi="Verdana"/>
                <w:noProof/>
                <w:webHidden/>
                <w:sz w:val="24"/>
                <w:szCs w:val="24"/>
              </w:rPr>
            </w:r>
            <w:r w:rsidRPr="0000694A">
              <w:rPr>
                <w:rFonts w:ascii="Verdana" w:hAnsi="Verdana"/>
                <w:noProof/>
                <w:webHidden/>
                <w:sz w:val="24"/>
                <w:szCs w:val="24"/>
              </w:rPr>
              <w:fldChar w:fldCharType="separate"/>
            </w:r>
            <w:r w:rsidR="00A020F3">
              <w:rPr>
                <w:rFonts w:ascii="Verdana" w:hAnsi="Verdana"/>
                <w:noProof/>
                <w:webHidden/>
                <w:sz w:val="24"/>
                <w:szCs w:val="24"/>
              </w:rPr>
              <w:t>6</w:t>
            </w:r>
            <w:r w:rsidRPr="0000694A">
              <w:rPr>
                <w:rFonts w:ascii="Verdana" w:hAnsi="Verdana"/>
                <w:noProof/>
                <w:webHidden/>
                <w:sz w:val="24"/>
                <w:szCs w:val="24"/>
              </w:rPr>
              <w:fldChar w:fldCharType="end"/>
            </w:r>
          </w:hyperlink>
        </w:p>
        <w:p w14:paraId="2D5C97B2" w14:textId="417E94CD" w:rsidR="0000694A" w:rsidRPr="0000694A" w:rsidRDefault="0000694A">
          <w:pPr>
            <w:pStyle w:val="TOC2"/>
            <w:tabs>
              <w:tab w:val="right" w:leader="dot" w:pos="9016"/>
            </w:tabs>
            <w:rPr>
              <w:rFonts w:ascii="Verdana" w:eastAsiaTheme="minorEastAsia" w:hAnsi="Verdana"/>
              <w:noProof/>
              <w:kern w:val="2"/>
              <w:sz w:val="24"/>
              <w:szCs w:val="24"/>
              <w:lang w:eastAsia="en-IE"/>
              <w14:ligatures w14:val="standardContextual"/>
            </w:rPr>
          </w:pPr>
          <w:hyperlink w:anchor="_Toc171069196" w:history="1">
            <w:r w:rsidRPr="0000694A">
              <w:rPr>
                <w:rStyle w:val="Hyperlink"/>
                <w:rFonts w:ascii="Verdana" w:hAnsi="Verdana"/>
                <w:noProof/>
                <w:sz w:val="24"/>
                <w:szCs w:val="24"/>
                <w:lang w:val="en-GB"/>
              </w:rPr>
              <w:t>Disproportionately High Poverty and Increasing Deprivation</w:t>
            </w:r>
            <w:r w:rsidRPr="0000694A">
              <w:rPr>
                <w:rFonts w:ascii="Verdana" w:hAnsi="Verdana"/>
                <w:noProof/>
                <w:webHidden/>
                <w:sz w:val="24"/>
                <w:szCs w:val="24"/>
              </w:rPr>
              <w:tab/>
            </w:r>
            <w:r w:rsidRPr="0000694A">
              <w:rPr>
                <w:rFonts w:ascii="Verdana" w:hAnsi="Verdana"/>
                <w:noProof/>
                <w:webHidden/>
                <w:sz w:val="24"/>
                <w:szCs w:val="24"/>
              </w:rPr>
              <w:fldChar w:fldCharType="begin"/>
            </w:r>
            <w:r w:rsidRPr="0000694A">
              <w:rPr>
                <w:rFonts w:ascii="Verdana" w:hAnsi="Verdana"/>
                <w:noProof/>
                <w:webHidden/>
                <w:sz w:val="24"/>
                <w:szCs w:val="24"/>
              </w:rPr>
              <w:instrText xml:space="preserve"> PAGEREF _Toc171069196 \h </w:instrText>
            </w:r>
            <w:r w:rsidRPr="0000694A">
              <w:rPr>
                <w:rFonts w:ascii="Verdana" w:hAnsi="Verdana"/>
                <w:noProof/>
                <w:webHidden/>
                <w:sz w:val="24"/>
                <w:szCs w:val="24"/>
              </w:rPr>
            </w:r>
            <w:r w:rsidRPr="0000694A">
              <w:rPr>
                <w:rFonts w:ascii="Verdana" w:hAnsi="Verdana"/>
                <w:noProof/>
                <w:webHidden/>
                <w:sz w:val="24"/>
                <w:szCs w:val="24"/>
              </w:rPr>
              <w:fldChar w:fldCharType="separate"/>
            </w:r>
            <w:r w:rsidR="00A020F3">
              <w:rPr>
                <w:rFonts w:ascii="Verdana" w:hAnsi="Verdana"/>
                <w:noProof/>
                <w:webHidden/>
                <w:sz w:val="24"/>
                <w:szCs w:val="24"/>
              </w:rPr>
              <w:t>6</w:t>
            </w:r>
            <w:r w:rsidRPr="0000694A">
              <w:rPr>
                <w:rFonts w:ascii="Verdana" w:hAnsi="Verdana"/>
                <w:noProof/>
                <w:webHidden/>
                <w:sz w:val="24"/>
                <w:szCs w:val="24"/>
              </w:rPr>
              <w:fldChar w:fldCharType="end"/>
            </w:r>
          </w:hyperlink>
        </w:p>
        <w:p w14:paraId="5434433B" w14:textId="3DDD259F" w:rsidR="0000694A" w:rsidRPr="0000694A" w:rsidRDefault="0000694A">
          <w:pPr>
            <w:pStyle w:val="TOC1"/>
            <w:tabs>
              <w:tab w:val="right" w:leader="dot" w:pos="9016"/>
            </w:tabs>
            <w:rPr>
              <w:rFonts w:ascii="Verdana" w:eastAsiaTheme="minorEastAsia" w:hAnsi="Verdana"/>
              <w:noProof/>
              <w:kern w:val="2"/>
              <w:sz w:val="24"/>
              <w:szCs w:val="24"/>
              <w:lang w:eastAsia="en-IE"/>
              <w14:ligatures w14:val="standardContextual"/>
            </w:rPr>
          </w:pPr>
          <w:hyperlink w:anchor="_Toc171069197" w:history="1">
            <w:r w:rsidRPr="0000694A">
              <w:rPr>
                <w:rStyle w:val="Hyperlink"/>
                <w:rFonts w:ascii="Verdana" w:hAnsi="Verdana"/>
                <w:noProof/>
                <w:sz w:val="24"/>
                <w:szCs w:val="24"/>
                <w:lang w:val="en-GB"/>
              </w:rPr>
              <w:t>CSO SILC 2023 – Poverty Persists and Deprivation Increases</w:t>
            </w:r>
            <w:r w:rsidRPr="0000694A">
              <w:rPr>
                <w:rFonts w:ascii="Verdana" w:hAnsi="Verdana"/>
                <w:noProof/>
                <w:webHidden/>
                <w:sz w:val="24"/>
                <w:szCs w:val="24"/>
              </w:rPr>
              <w:tab/>
            </w:r>
            <w:r w:rsidRPr="0000694A">
              <w:rPr>
                <w:rFonts w:ascii="Verdana" w:hAnsi="Verdana"/>
                <w:noProof/>
                <w:webHidden/>
                <w:sz w:val="24"/>
                <w:szCs w:val="24"/>
              </w:rPr>
              <w:fldChar w:fldCharType="begin"/>
            </w:r>
            <w:r w:rsidRPr="0000694A">
              <w:rPr>
                <w:rFonts w:ascii="Verdana" w:hAnsi="Verdana"/>
                <w:noProof/>
                <w:webHidden/>
                <w:sz w:val="24"/>
                <w:szCs w:val="24"/>
              </w:rPr>
              <w:instrText xml:space="preserve"> PAGEREF _Toc171069197 \h </w:instrText>
            </w:r>
            <w:r w:rsidRPr="0000694A">
              <w:rPr>
                <w:rFonts w:ascii="Verdana" w:hAnsi="Verdana"/>
                <w:noProof/>
                <w:webHidden/>
                <w:sz w:val="24"/>
                <w:szCs w:val="24"/>
              </w:rPr>
            </w:r>
            <w:r w:rsidRPr="0000694A">
              <w:rPr>
                <w:rFonts w:ascii="Verdana" w:hAnsi="Verdana"/>
                <w:noProof/>
                <w:webHidden/>
                <w:sz w:val="24"/>
                <w:szCs w:val="24"/>
              </w:rPr>
              <w:fldChar w:fldCharType="separate"/>
            </w:r>
            <w:r w:rsidR="00A020F3">
              <w:rPr>
                <w:rFonts w:ascii="Verdana" w:hAnsi="Verdana"/>
                <w:noProof/>
                <w:webHidden/>
                <w:sz w:val="24"/>
                <w:szCs w:val="24"/>
              </w:rPr>
              <w:t>6</w:t>
            </w:r>
            <w:r w:rsidRPr="0000694A">
              <w:rPr>
                <w:rFonts w:ascii="Verdana" w:hAnsi="Verdana"/>
                <w:noProof/>
                <w:webHidden/>
                <w:sz w:val="24"/>
                <w:szCs w:val="24"/>
              </w:rPr>
              <w:fldChar w:fldCharType="end"/>
            </w:r>
          </w:hyperlink>
        </w:p>
        <w:p w14:paraId="740417C8" w14:textId="5B8DA650" w:rsidR="0000694A" w:rsidRPr="0000694A" w:rsidRDefault="0000694A">
          <w:pPr>
            <w:pStyle w:val="TOC1"/>
            <w:tabs>
              <w:tab w:val="right" w:leader="dot" w:pos="9016"/>
            </w:tabs>
            <w:rPr>
              <w:rFonts w:ascii="Verdana" w:eastAsiaTheme="minorEastAsia" w:hAnsi="Verdana"/>
              <w:noProof/>
              <w:kern w:val="2"/>
              <w:sz w:val="24"/>
              <w:szCs w:val="24"/>
              <w:lang w:eastAsia="en-IE"/>
              <w14:ligatures w14:val="standardContextual"/>
            </w:rPr>
          </w:pPr>
          <w:hyperlink w:anchor="_Toc171069198" w:history="1">
            <w:r w:rsidRPr="0000694A">
              <w:rPr>
                <w:rStyle w:val="Hyperlink"/>
                <w:rFonts w:ascii="Verdana" w:hAnsi="Verdana"/>
                <w:noProof/>
                <w:sz w:val="24"/>
                <w:szCs w:val="24"/>
              </w:rPr>
              <w:t>Government Commitments on Poverty and Disability</w:t>
            </w:r>
            <w:r w:rsidRPr="0000694A">
              <w:rPr>
                <w:rFonts w:ascii="Verdana" w:hAnsi="Verdana"/>
                <w:noProof/>
                <w:webHidden/>
                <w:sz w:val="24"/>
                <w:szCs w:val="24"/>
              </w:rPr>
              <w:tab/>
            </w:r>
            <w:r w:rsidRPr="0000694A">
              <w:rPr>
                <w:rFonts w:ascii="Verdana" w:hAnsi="Verdana"/>
                <w:noProof/>
                <w:webHidden/>
                <w:sz w:val="24"/>
                <w:szCs w:val="24"/>
              </w:rPr>
              <w:fldChar w:fldCharType="begin"/>
            </w:r>
            <w:r w:rsidRPr="0000694A">
              <w:rPr>
                <w:rFonts w:ascii="Verdana" w:hAnsi="Verdana"/>
                <w:noProof/>
                <w:webHidden/>
                <w:sz w:val="24"/>
                <w:szCs w:val="24"/>
              </w:rPr>
              <w:instrText xml:space="preserve"> PAGEREF _Toc171069198 \h </w:instrText>
            </w:r>
            <w:r w:rsidRPr="0000694A">
              <w:rPr>
                <w:rFonts w:ascii="Verdana" w:hAnsi="Verdana"/>
                <w:noProof/>
                <w:webHidden/>
                <w:sz w:val="24"/>
                <w:szCs w:val="24"/>
              </w:rPr>
            </w:r>
            <w:r w:rsidRPr="0000694A">
              <w:rPr>
                <w:rFonts w:ascii="Verdana" w:hAnsi="Verdana"/>
                <w:noProof/>
                <w:webHidden/>
                <w:sz w:val="24"/>
                <w:szCs w:val="24"/>
              </w:rPr>
              <w:fldChar w:fldCharType="separate"/>
            </w:r>
            <w:r w:rsidR="00A020F3">
              <w:rPr>
                <w:rFonts w:ascii="Verdana" w:hAnsi="Verdana"/>
                <w:noProof/>
                <w:webHidden/>
                <w:sz w:val="24"/>
                <w:szCs w:val="24"/>
              </w:rPr>
              <w:t>8</w:t>
            </w:r>
            <w:r w:rsidRPr="0000694A">
              <w:rPr>
                <w:rFonts w:ascii="Verdana" w:hAnsi="Verdana"/>
                <w:noProof/>
                <w:webHidden/>
                <w:sz w:val="24"/>
                <w:szCs w:val="24"/>
              </w:rPr>
              <w:fldChar w:fldCharType="end"/>
            </w:r>
          </w:hyperlink>
        </w:p>
        <w:p w14:paraId="5C113C54" w14:textId="7619FCEB" w:rsidR="0000694A" w:rsidRPr="0000694A" w:rsidRDefault="0000694A">
          <w:pPr>
            <w:pStyle w:val="TOC1"/>
            <w:tabs>
              <w:tab w:val="right" w:leader="dot" w:pos="9016"/>
            </w:tabs>
            <w:rPr>
              <w:rFonts w:ascii="Verdana" w:eastAsiaTheme="minorEastAsia" w:hAnsi="Verdana"/>
              <w:noProof/>
              <w:kern w:val="2"/>
              <w:sz w:val="24"/>
              <w:szCs w:val="24"/>
              <w:lang w:eastAsia="en-IE"/>
              <w14:ligatures w14:val="standardContextual"/>
            </w:rPr>
          </w:pPr>
          <w:hyperlink w:anchor="_Toc171069199" w:history="1">
            <w:r w:rsidRPr="0000694A">
              <w:rPr>
                <w:rStyle w:val="Hyperlink"/>
                <w:rFonts w:ascii="Verdana" w:hAnsi="Verdana"/>
                <w:noProof/>
                <w:sz w:val="24"/>
                <w:szCs w:val="24"/>
              </w:rPr>
              <w:t>Roadmap for Social Inclusion – Way Behind on Poverty with Less than 18 months Left</w:t>
            </w:r>
            <w:r w:rsidRPr="0000694A">
              <w:rPr>
                <w:rFonts w:ascii="Verdana" w:hAnsi="Verdana"/>
                <w:noProof/>
                <w:webHidden/>
                <w:sz w:val="24"/>
                <w:szCs w:val="24"/>
              </w:rPr>
              <w:tab/>
            </w:r>
            <w:r w:rsidRPr="0000694A">
              <w:rPr>
                <w:rFonts w:ascii="Verdana" w:hAnsi="Verdana"/>
                <w:noProof/>
                <w:webHidden/>
                <w:sz w:val="24"/>
                <w:szCs w:val="24"/>
              </w:rPr>
              <w:fldChar w:fldCharType="begin"/>
            </w:r>
            <w:r w:rsidRPr="0000694A">
              <w:rPr>
                <w:rFonts w:ascii="Verdana" w:hAnsi="Verdana"/>
                <w:noProof/>
                <w:webHidden/>
                <w:sz w:val="24"/>
                <w:szCs w:val="24"/>
              </w:rPr>
              <w:instrText xml:space="preserve"> PAGEREF _Toc171069199 \h </w:instrText>
            </w:r>
            <w:r w:rsidRPr="0000694A">
              <w:rPr>
                <w:rFonts w:ascii="Verdana" w:hAnsi="Verdana"/>
                <w:noProof/>
                <w:webHidden/>
                <w:sz w:val="24"/>
                <w:szCs w:val="24"/>
              </w:rPr>
            </w:r>
            <w:r w:rsidRPr="0000694A">
              <w:rPr>
                <w:rFonts w:ascii="Verdana" w:hAnsi="Verdana"/>
                <w:noProof/>
                <w:webHidden/>
                <w:sz w:val="24"/>
                <w:szCs w:val="24"/>
              </w:rPr>
              <w:fldChar w:fldCharType="separate"/>
            </w:r>
            <w:r w:rsidR="00A020F3">
              <w:rPr>
                <w:rFonts w:ascii="Verdana" w:hAnsi="Verdana"/>
                <w:noProof/>
                <w:webHidden/>
                <w:sz w:val="24"/>
                <w:szCs w:val="24"/>
              </w:rPr>
              <w:t>8</w:t>
            </w:r>
            <w:r w:rsidRPr="0000694A">
              <w:rPr>
                <w:rFonts w:ascii="Verdana" w:hAnsi="Verdana"/>
                <w:noProof/>
                <w:webHidden/>
                <w:sz w:val="24"/>
                <w:szCs w:val="24"/>
              </w:rPr>
              <w:fldChar w:fldCharType="end"/>
            </w:r>
          </w:hyperlink>
        </w:p>
        <w:p w14:paraId="1C445948" w14:textId="108318BE" w:rsidR="0000694A" w:rsidRPr="0000694A" w:rsidRDefault="0000694A">
          <w:pPr>
            <w:pStyle w:val="TOC1"/>
            <w:tabs>
              <w:tab w:val="right" w:leader="dot" w:pos="9016"/>
            </w:tabs>
            <w:rPr>
              <w:rFonts w:ascii="Verdana" w:eastAsiaTheme="minorEastAsia" w:hAnsi="Verdana"/>
              <w:noProof/>
              <w:kern w:val="2"/>
              <w:sz w:val="24"/>
              <w:szCs w:val="24"/>
              <w:lang w:eastAsia="en-IE"/>
              <w14:ligatures w14:val="standardContextual"/>
            </w:rPr>
          </w:pPr>
          <w:hyperlink w:anchor="_Toc171069200" w:history="1">
            <w:r w:rsidRPr="0000694A">
              <w:rPr>
                <w:rStyle w:val="Hyperlink"/>
                <w:rFonts w:ascii="Verdana" w:hAnsi="Verdana"/>
                <w:noProof/>
                <w:sz w:val="24"/>
                <w:szCs w:val="24"/>
              </w:rPr>
              <w:t>EU: Ireland Leads “Hall of Shame”</w:t>
            </w:r>
            <w:r w:rsidRPr="0000694A">
              <w:rPr>
                <w:rFonts w:ascii="Verdana" w:hAnsi="Verdana"/>
                <w:noProof/>
                <w:webHidden/>
                <w:sz w:val="24"/>
                <w:szCs w:val="24"/>
              </w:rPr>
              <w:tab/>
            </w:r>
            <w:r w:rsidRPr="0000694A">
              <w:rPr>
                <w:rFonts w:ascii="Verdana" w:hAnsi="Verdana"/>
                <w:noProof/>
                <w:webHidden/>
                <w:sz w:val="24"/>
                <w:szCs w:val="24"/>
              </w:rPr>
              <w:fldChar w:fldCharType="begin"/>
            </w:r>
            <w:r w:rsidRPr="0000694A">
              <w:rPr>
                <w:rFonts w:ascii="Verdana" w:hAnsi="Verdana"/>
                <w:noProof/>
                <w:webHidden/>
                <w:sz w:val="24"/>
                <w:szCs w:val="24"/>
              </w:rPr>
              <w:instrText xml:space="preserve"> PAGEREF _Toc171069200 \h </w:instrText>
            </w:r>
            <w:r w:rsidRPr="0000694A">
              <w:rPr>
                <w:rFonts w:ascii="Verdana" w:hAnsi="Verdana"/>
                <w:noProof/>
                <w:webHidden/>
                <w:sz w:val="24"/>
                <w:szCs w:val="24"/>
              </w:rPr>
            </w:r>
            <w:r w:rsidRPr="0000694A">
              <w:rPr>
                <w:rFonts w:ascii="Verdana" w:hAnsi="Verdana"/>
                <w:noProof/>
                <w:webHidden/>
                <w:sz w:val="24"/>
                <w:szCs w:val="24"/>
              </w:rPr>
              <w:fldChar w:fldCharType="separate"/>
            </w:r>
            <w:r w:rsidR="00A020F3">
              <w:rPr>
                <w:rFonts w:ascii="Verdana" w:hAnsi="Verdana"/>
                <w:noProof/>
                <w:webHidden/>
                <w:sz w:val="24"/>
                <w:szCs w:val="24"/>
              </w:rPr>
              <w:t>9</w:t>
            </w:r>
            <w:r w:rsidRPr="0000694A">
              <w:rPr>
                <w:rFonts w:ascii="Verdana" w:hAnsi="Verdana"/>
                <w:noProof/>
                <w:webHidden/>
                <w:sz w:val="24"/>
                <w:szCs w:val="24"/>
              </w:rPr>
              <w:fldChar w:fldCharType="end"/>
            </w:r>
          </w:hyperlink>
        </w:p>
        <w:p w14:paraId="0521CED1" w14:textId="3E53E7E3" w:rsidR="0000694A" w:rsidRPr="0000694A" w:rsidRDefault="0000694A">
          <w:pPr>
            <w:pStyle w:val="TOC1"/>
            <w:tabs>
              <w:tab w:val="right" w:leader="dot" w:pos="9016"/>
            </w:tabs>
            <w:rPr>
              <w:rFonts w:ascii="Verdana" w:eastAsiaTheme="minorEastAsia" w:hAnsi="Verdana"/>
              <w:noProof/>
              <w:kern w:val="2"/>
              <w:sz w:val="24"/>
              <w:szCs w:val="24"/>
              <w:lang w:eastAsia="en-IE"/>
              <w14:ligatures w14:val="standardContextual"/>
            </w:rPr>
          </w:pPr>
          <w:hyperlink w:anchor="_Toc171069201" w:history="1">
            <w:r w:rsidRPr="0000694A">
              <w:rPr>
                <w:rStyle w:val="Hyperlink"/>
                <w:rFonts w:ascii="Verdana" w:hAnsi="Verdana"/>
                <w:noProof/>
                <w:sz w:val="24"/>
                <w:szCs w:val="24"/>
              </w:rPr>
              <w:t>No Real Progress on Significant Extra Cost of Disability</w:t>
            </w:r>
            <w:r w:rsidRPr="0000694A">
              <w:rPr>
                <w:rFonts w:ascii="Verdana" w:hAnsi="Verdana"/>
                <w:noProof/>
                <w:webHidden/>
                <w:sz w:val="24"/>
                <w:szCs w:val="24"/>
              </w:rPr>
              <w:tab/>
            </w:r>
            <w:r w:rsidRPr="0000694A">
              <w:rPr>
                <w:rFonts w:ascii="Verdana" w:hAnsi="Verdana"/>
                <w:noProof/>
                <w:webHidden/>
                <w:sz w:val="24"/>
                <w:szCs w:val="24"/>
              </w:rPr>
              <w:fldChar w:fldCharType="begin"/>
            </w:r>
            <w:r w:rsidRPr="0000694A">
              <w:rPr>
                <w:rFonts w:ascii="Verdana" w:hAnsi="Verdana"/>
                <w:noProof/>
                <w:webHidden/>
                <w:sz w:val="24"/>
                <w:szCs w:val="24"/>
              </w:rPr>
              <w:instrText xml:space="preserve"> PAGEREF _Toc171069201 \h </w:instrText>
            </w:r>
            <w:r w:rsidRPr="0000694A">
              <w:rPr>
                <w:rFonts w:ascii="Verdana" w:hAnsi="Verdana"/>
                <w:noProof/>
                <w:webHidden/>
                <w:sz w:val="24"/>
                <w:szCs w:val="24"/>
              </w:rPr>
            </w:r>
            <w:r w:rsidRPr="0000694A">
              <w:rPr>
                <w:rFonts w:ascii="Verdana" w:hAnsi="Verdana"/>
                <w:noProof/>
                <w:webHidden/>
                <w:sz w:val="24"/>
                <w:szCs w:val="24"/>
              </w:rPr>
              <w:fldChar w:fldCharType="separate"/>
            </w:r>
            <w:r w:rsidR="00A020F3">
              <w:rPr>
                <w:rFonts w:ascii="Verdana" w:hAnsi="Verdana"/>
                <w:noProof/>
                <w:webHidden/>
                <w:sz w:val="24"/>
                <w:szCs w:val="24"/>
              </w:rPr>
              <w:t>10</w:t>
            </w:r>
            <w:r w:rsidRPr="0000694A">
              <w:rPr>
                <w:rFonts w:ascii="Verdana" w:hAnsi="Verdana"/>
                <w:noProof/>
                <w:webHidden/>
                <w:sz w:val="24"/>
                <w:szCs w:val="24"/>
              </w:rPr>
              <w:fldChar w:fldCharType="end"/>
            </w:r>
          </w:hyperlink>
        </w:p>
        <w:p w14:paraId="7D07C91E" w14:textId="293F755D" w:rsidR="0000694A" w:rsidRPr="0000694A" w:rsidRDefault="0000694A">
          <w:pPr>
            <w:pStyle w:val="TOC1"/>
            <w:tabs>
              <w:tab w:val="right" w:leader="dot" w:pos="9016"/>
            </w:tabs>
            <w:rPr>
              <w:rFonts w:ascii="Verdana" w:eastAsiaTheme="minorEastAsia" w:hAnsi="Verdana"/>
              <w:noProof/>
              <w:kern w:val="2"/>
              <w:sz w:val="24"/>
              <w:szCs w:val="24"/>
              <w:lang w:eastAsia="en-IE"/>
              <w14:ligatures w14:val="standardContextual"/>
            </w:rPr>
          </w:pPr>
          <w:hyperlink w:anchor="_Toc171069202" w:history="1">
            <w:r w:rsidRPr="0000694A">
              <w:rPr>
                <w:rStyle w:val="Hyperlink"/>
                <w:rFonts w:ascii="Verdana" w:hAnsi="Verdana"/>
                <w:noProof/>
                <w:sz w:val="24"/>
                <w:szCs w:val="24"/>
              </w:rPr>
              <w:t>Green Paper Proposal Was the Wrong Solution</w:t>
            </w:r>
            <w:r w:rsidRPr="0000694A">
              <w:rPr>
                <w:rFonts w:ascii="Verdana" w:hAnsi="Verdana"/>
                <w:noProof/>
                <w:webHidden/>
                <w:sz w:val="24"/>
                <w:szCs w:val="24"/>
              </w:rPr>
              <w:tab/>
            </w:r>
            <w:r w:rsidRPr="0000694A">
              <w:rPr>
                <w:rFonts w:ascii="Verdana" w:hAnsi="Verdana"/>
                <w:noProof/>
                <w:webHidden/>
                <w:sz w:val="24"/>
                <w:szCs w:val="24"/>
              </w:rPr>
              <w:fldChar w:fldCharType="begin"/>
            </w:r>
            <w:r w:rsidRPr="0000694A">
              <w:rPr>
                <w:rFonts w:ascii="Verdana" w:hAnsi="Verdana"/>
                <w:noProof/>
                <w:webHidden/>
                <w:sz w:val="24"/>
                <w:szCs w:val="24"/>
              </w:rPr>
              <w:instrText xml:space="preserve"> PAGEREF _Toc171069202 \h </w:instrText>
            </w:r>
            <w:r w:rsidRPr="0000694A">
              <w:rPr>
                <w:rFonts w:ascii="Verdana" w:hAnsi="Verdana"/>
                <w:noProof/>
                <w:webHidden/>
                <w:sz w:val="24"/>
                <w:szCs w:val="24"/>
              </w:rPr>
            </w:r>
            <w:r w:rsidRPr="0000694A">
              <w:rPr>
                <w:rFonts w:ascii="Verdana" w:hAnsi="Verdana"/>
                <w:noProof/>
                <w:webHidden/>
                <w:sz w:val="24"/>
                <w:szCs w:val="24"/>
              </w:rPr>
              <w:fldChar w:fldCharType="separate"/>
            </w:r>
            <w:r w:rsidR="00A020F3">
              <w:rPr>
                <w:rFonts w:ascii="Verdana" w:hAnsi="Verdana"/>
                <w:noProof/>
                <w:webHidden/>
                <w:sz w:val="24"/>
                <w:szCs w:val="24"/>
              </w:rPr>
              <w:t>11</w:t>
            </w:r>
            <w:r w:rsidRPr="0000694A">
              <w:rPr>
                <w:rFonts w:ascii="Verdana" w:hAnsi="Verdana"/>
                <w:noProof/>
                <w:webHidden/>
                <w:sz w:val="24"/>
                <w:szCs w:val="24"/>
              </w:rPr>
              <w:fldChar w:fldCharType="end"/>
            </w:r>
          </w:hyperlink>
        </w:p>
        <w:p w14:paraId="2EBB6FA6" w14:textId="7468539D" w:rsidR="0000694A" w:rsidRPr="0000694A" w:rsidRDefault="0000694A">
          <w:pPr>
            <w:pStyle w:val="TOC1"/>
            <w:tabs>
              <w:tab w:val="right" w:leader="dot" w:pos="9016"/>
            </w:tabs>
            <w:rPr>
              <w:rFonts w:ascii="Verdana" w:eastAsiaTheme="minorEastAsia" w:hAnsi="Verdana"/>
              <w:noProof/>
              <w:kern w:val="2"/>
              <w:sz w:val="24"/>
              <w:szCs w:val="24"/>
              <w:lang w:eastAsia="en-IE"/>
              <w14:ligatures w14:val="standardContextual"/>
            </w:rPr>
          </w:pPr>
          <w:hyperlink w:anchor="_Toc171069203" w:history="1">
            <w:r w:rsidRPr="0000694A">
              <w:rPr>
                <w:rStyle w:val="Hyperlink"/>
                <w:rFonts w:ascii="Verdana" w:hAnsi="Verdana"/>
                <w:noProof/>
                <w:sz w:val="24"/>
                <w:szCs w:val="24"/>
              </w:rPr>
              <w:t>Ways Forward: Cost of Disability Payment is Essential</w:t>
            </w:r>
            <w:r w:rsidRPr="0000694A">
              <w:rPr>
                <w:rFonts w:ascii="Verdana" w:hAnsi="Verdana"/>
                <w:noProof/>
                <w:webHidden/>
                <w:sz w:val="24"/>
                <w:szCs w:val="24"/>
              </w:rPr>
              <w:tab/>
            </w:r>
            <w:r w:rsidRPr="0000694A">
              <w:rPr>
                <w:rFonts w:ascii="Verdana" w:hAnsi="Verdana"/>
                <w:noProof/>
                <w:webHidden/>
                <w:sz w:val="24"/>
                <w:szCs w:val="24"/>
              </w:rPr>
              <w:fldChar w:fldCharType="begin"/>
            </w:r>
            <w:r w:rsidRPr="0000694A">
              <w:rPr>
                <w:rFonts w:ascii="Verdana" w:hAnsi="Verdana"/>
                <w:noProof/>
                <w:webHidden/>
                <w:sz w:val="24"/>
                <w:szCs w:val="24"/>
              </w:rPr>
              <w:instrText xml:space="preserve"> PAGEREF _Toc171069203 \h </w:instrText>
            </w:r>
            <w:r w:rsidRPr="0000694A">
              <w:rPr>
                <w:rFonts w:ascii="Verdana" w:hAnsi="Verdana"/>
                <w:noProof/>
                <w:webHidden/>
                <w:sz w:val="24"/>
                <w:szCs w:val="24"/>
              </w:rPr>
            </w:r>
            <w:r w:rsidRPr="0000694A">
              <w:rPr>
                <w:rFonts w:ascii="Verdana" w:hAnsi="Verdana"/>
                <w:noProof/>
                <w:webHidden/>
                <w:sz w:val="24"/>
                <w:szCs w:val="24"/>
              </w:rPr>
              <w:fldChar w:fldCharType="separate"/>
            </w:r>
            <w:r w:rsidR="00A020F3">
              <w:rPr>
                <w:rFonts w:ascii="Verdana" w:hAnsi="Verdana"/>
                <w:noProof/>
                <w:webHidden/>
                <w:sz w:val="24"/>
                <w:szCs w:val="24"/>
              </w:rPr>
              <w:t>12</w:t>
            </w:r>
            <w:r w:rsidRPr="0000694A">
              <w:rPr>
                <w:rFonts w:ascii="Verdana" w:hAnsi="Verdana"/>
                <w:noProof/>
                <w:webHidden/>
                <w:sz w:val="24"/>
                <w:szCs w:val="24"/>
              </w:rPr>
              <w:fldChar w:fldCharType="end"/>
            </w:r>
          </w:hyperlink>
        </w:p>
        <w:p w14:paraId="67B6EE92" w14:textId="3A8FAEAE" w:rsidR="0000694A" w:rsidRPr="0000694A" w:rsidRDefault="0000694A">
          <w:pPr>
            <w:pStyle w:val="TOC1"/>
            <w:tabs>
              <w:tab w:val="right" w:leader="dot" w:pos="9016"/>
            </w:tabs>
            <w:rPr>
              <w:rFonts w:ascii="Verdana" w:eastAsiaTheme="minorEastAsia" w:hAnsi="Verdana"/>
              <w:noProof/>
              <w:kern w:val="2"/>
              <w:sz w:val="24"/>
              <w:szCs w:val="24"/>
              <w:lang w:eastAsia="en-IE"/>
              <w14:ligatures w14:val="standardContextual"/>
            </w:rPr>
          </w:pPr>
          <w:hyperlink w:anchor="_Toc171069204" w:history="1">
            <w:r w:rsidRPr="0000694A">
              <w:rPr>
                <w:rStyle w:val="Hyperlink"/>
                <w:rFonts w:ascii="Verdana" w:hAnsi="Verdana"/>
                <w:noProof/>
                <w:sz w:val="24"/>
                <w:szCs w:val="24"/>
              </w:rPr>
              <w:t>Inflation, Income Adequacy, Benchmarking and Indexation</w:t>
            </w:r>
            <w:r w:rsidRPr="0000694A">
              <w:rPr>
                <w:rFonts w:ascii="Verdana" w:hAnsi="Verdana"/>
                <w:noProof/>
                <w:webHidden/>
                <w:sz w:val="24"/>
                <w:szCs w:val="24"/>
              </w:rPr>
              <w:tab/>
            </w:r>
            <w:r w:rsidRPr="0000694A">
              <w:rPr>
                <w:rFonts w:ascii="Verdana" w:hAnsi="Verdana"/>
                <w:noProof/>
                <w:webHidden/>
                <w:sz w:val="24"/>
                <w:szCs w:val="24"/>
              </w:rPr>
              <w:fldChar w:fldCharType="begin"/>
            </w:r>
            <w:r w:rsidRPr="0000694A">
              <w:rPr>
                <w:rFonts w:ascii="Verdana" w:hAnsi="Verdana"/>
                <w:noProof/>
                <w:webHidden/>
                <w:sz w:val="24"/>
                <w:szCs w:val="24"/>
              </w:rPr>
              <w:instrText xml:space="preserve"> PAGEREF _Toc171069204 \h </w:instrText>
            </w:r>
            <w:r w:rsidRPr="0000694A">
              <w:rPr>
                <w:rFonts w:ascii="Verdana" w:hAnsi="Verdana"/>
                <w:noProof/>
                <w:webHidden/>
                <w:sz w:val="24"/>
                <w:szCs w:val="24"/>
              </w:rPr>
            </w:r>
            <w:r w:rsidRPr="0000694A">
              <w:rPr>
                <w:rFonts w:ascii="Verdana" w:hAnsi="Verdana"/>
                <w:noProof/>
                <w:webHidden/>
                <w:sz w:val="24"/>
                <w:szCs w:val="24"/>
              </w:rPr>
              <w:fldChar w:fldCharType="separate"/>
            </w:r>
            <w:r w:rsidR="00A020F3">
              <w:rPr>
                <w:rFonts w:ascii="Verdana" w:hAnsi="Verdana"/>
                <w:noProof/>
                <w:webHidden/>
                <w:sz w:val="24"/>
                <w:szCs w:val="24"/>
              </w:rPr>
              <w:t>14</w:t>
            </w:r>
            <w:r w:rsidRPr="0000694A">
              <w:rPr>
                <w:rFonts w:ascii="Verdana" w:hAnsi="Verdana"/>
                <w:noProof/>
                <w:webHidden/>
                <w:sz w:val="24"/>
                <w:szCs w:val="24"/>
              </w:rPr>
              <w:fldChar w:fldCharType="end"/>
            </w:r>
          </w:hyperlink>
        </w:p>
        <w:p w14:paraId="6FEB4AE0" w14:textId="1DFA2EAB" w:rsidR="0000694A" w:rsidRPr="0000694A" w:rsidRDefault="0000694A">
          <w:pPr>
            <w:pStyle w:val="TOC1"/>
            <w:tabs>
              <w:tab w:val="right" w:leader="dot" w:pos="9016"/>
            </w:tabs>
            <w:rPr>
              <w:rFonts w:ascii="Verdana" w:eastAsiaTheme="minorEastAsia" w:hAnsi="Verdana"/>
              <w:noProof/>
              <w:kern w:val="2"/>
              <w:sz w:val="24"/>
              <w:szCs w:val="24"/>
              <w:lang w:eastAsia="en-IE"/>
              <w14:ligatures w14:val="standardContextual"/>
            </w:rPr>
          </w:pPr>
          <w:hyperlink w:anchor="_Toc171069205" w:history="1">
            <w:r w:rsidRPr="0000694A">
              <w:rPr>
                <w:rStyle w:val="Hyperlink"/>
                <w:rFonts w:ascii="Verdana" w:hAnsi="Verdana"/>
                <w:noProof/>
                <w:sz w:val="24"/>
                <w:szCs w:val="24"/>
                <w:lang w:val="en-GB"/>
              </w:rPr>
              <w:t>Disability is Not a One-Off, Nor is Poverty</w:t>
            </w:r>
            <w:r w:rsidRPr="0000694A">
              <w:rPr>
                <w:rFonts w:ascii="Verdana" w:hAnsi="Verdana"/>
                <w:noProof/>
                <w:webHidden/>
                <w:sz w:val="24"/>
                <w:szCs w:val="24"/>
              </w:rPr>
              <w:tab/>
            </w:r>
            <w:r w:rsidRPr="0000694A">
              <w:rPr>
                <w:rFonts w:ascii="Verdana" w:hAnsi="Verdana"/>
                <w:noProof/>
                <w:webHidden/>
                <w:sz w:val="24"/>
                <w:szCs w:val="24"/>
              </w:rPr>
              <w:fldChar w:fldCharType="begin"/>
            </w:r>
            <w:r w:rsidRPr="0000694A">
              <w:rPr>
                <w:rFonts w:ascii="Verdana" w:hAnsi="Verdana"/>
                <w:noProof/>
                <w:webHidden/>
                <w:sz w:val="24"/>
                <w:szCs w:val="24"/>
              </w:rPr>
              <w:instrText xml:space="preserve"> PAGEREF _Toc171069205 \h </w:instrText>
            </w:r>
            <w:r w:rsidRPr="0000694A">
              <w:rPr>
                <w:rFonts w:ascii="Verdana" w:hAnsi="Verdana"/>
                <w:noProof/>
                <w:webHidden/>
                <w:sz w:val="24"/>
                <w:szCs w:val="24"/>
              </w:rPr>
            </w:r>
            <w:r w:rsidRPr="0000694A">
              <w:rPr>
                <w:rFonts w:ascii="Verdana" w:hAnsi="Verdana"/>
                <w:noProof/>
                <w:webHidden/>
                <w:sz w:val="24"/>
                <w:szCs w:val="24"/>
              </w:rPr>
              <w:fldChar w:fldCharType="separate"/>
            </w:r>
            <w:r w:rsidR="00A020F3">
              <w:rPr>
                <w:rFonts w:ascii="Verdana" w:hAnsi="Verdana"/>
                <w:noProof/>
                <w:webHidden/>
                <w:sz w:val="24"/>
                <w:szCs w:val="24"/>
              </w:rPr>
              <w:t>16</w:t>
            </w:r>
            <w:r w:rsidRPr="0000694A">
              <w:rPr>
                <w:rFonts w:ascii="Verdana" w:hAnsi="Verdana"/>
                <w:noProof/>
                <w:webHidden/>
                <w:sz w:val="24"/>
                <w:szCs w:val="24"/>
              </w:rPr>
              <w:fldChar w:fldCharType="end"/>
            </w:r>
          </w:hyperlink>
        </w:p>
        <w:p w14:paraId="30A46C89" w14:textId="37BD64A5" w:rsidR="0000694A" w:rsidRPr="0000694A" w:rsidRDefault="0000694A">
          <w:pPr>
            <w:pStyle w:val="TOC2"/>
            <w:tabs>
              <w:tab w:val="right" w:leader="dot" w:pos="9016"/>
            </w:tabs>
            <w:rPr>
              <w:rFonts w:ascii="Verdana" w:eastAsiaTheme="minorEastAsia" w:hAnsi="Verdana"/>
              <w:noProof/>
              <w:kern w:val="2"/>
              <w:sz w:val="24"/>
              <w:szCs w:val="24"/>
              <w:lang w:eastAsia="en-IE"/>
              <w14:ligatures w14:val="standardContextual"/>
            </w:rPr>
          </w:pPr>
          <w:hyperlink w:anchor="_Toc171069206" w:history="1">
            <w:r w:rsidRPr="0000694A">
              <w:rPr>
                <w:rStyle w:val="Hyperlink"/>
                <w:rFonts w:ascii="Verdana" w:hAnsi="Verdana"/>
                <w:noProof/>
                <w:sz w:val="24"/>
                <w:szCs w:val="24"/>
                <w:lang w:val="en-GB"/>
              </w:rPr>
              <w:t>Disability Support Grant</w:t>
            </w:r>
            <w:r w:rsidRPr="0000694A">
              <w:rPr>
                <w:rFonts w:ascii="Verdana" w:hAnsi="Verdana"/>
                <w:noProof/>
                <w:webHidden/>
                <w:sz w:val="24"/>
                <w:szCs w:val="24"/>
              </w:rPr>
              <w:tab/>
            </w:r>
            <w:r w:rsidRPr="0000694A">
              <w:rPr>
                <w:rFonts w:ascii="Verdana" w:hAnsi="Verdana"/>
                <w:noProof/>
                <w:webHidden/>
                <w:sz w:val="24"/>
                <w:szCs w:val="24"/>
              </w:rPr>
              <w:fldChar w:fldCharType="begin"/>
            </w:r>
            <w:r w:rsidRPr="0000694A">
              <w:rPr>
                <w:rFonts w:ascii="Verdana" w:hAnsi="Verdana"/>
                <w:noProof/>
                <w:webHidden/>
                <w:sz w:val="24"/>
                <w:szCs w:val="24"/>
              </w:rPr>
              <w:instrText xml:space="preserve"> PAGEREF _Toc171069206 \h </w:instrText>
            </w:r>
            <w:r w:rsidRPr="0000694A">
              <w:rPr>
                <w:rFonts w:ascii="Verdana" w:hAnsi="Verdana"/>
                <w:noProof/>
                <w:webHidden/>
                <w:sz w:val="24"/>
                <w:szCs w:val="24"/>
              </w:rPr>
            </w:r>
            <w:r w:rsidRPr="0000694A">
              <w:rPr>
                <w:rFonts w:ascii="Verdana" w:hAnsi="Verdana"/>
                <w:noProof/>
                <w:webHidden/>
                <w:sz w:val="24"/>
                <w:szCs w:val="24"/>
              </w:rPr>
              <w:fldChar w:fldCharType="separate"/>
            </w:r>
            <w:r w:rsidR="00A020F3">
              <w:rPr>
                <w:rFonts w:ascii="Verdana" w:hAnsi="Verdana"/>
                <w:noProof/>
                <w:webHidden/>
                <w:sz w:val="24"/>
                <w:szCs w:val="24"/>
              </w:rPr>
              <w:t>16</w:t>
            </w:r>
            <w:r w:rsidRPr="0000694A">
              <w:rPr>
                <w:rFonts w:ascii="Verdana" w:hAnsi="Verdana"/>
                <w:noProof/>
                <w:webHidden/>
                <w:sz w:val="24"/>
                <w:szCs w:val="24"/>
              </w:rPr>
              <w:fldChar w:fldCharType="end"/>
            </w:r>
          </w:hyperlink>
        </w:p>
        <w:p w14:paraId="2EE492AC" w14:textId="3A3402FB" w:rsidR="0000694A" w:rsidRPr="0000694A" w:rsidRDefault="0000694A">
          <w:pPr>
            <w:pStyle w:val="TOC1"/>
            <w:tabs>
              <w:tab w:val="right" w:leader="dot" w:pos="9016"/>
            </w:tabs>
            <w:rPr>
              <w:rFonts w:ascii="Verdana" w:eastAsiaTheme="minorEastAsia" w:hAnsi="Verdana"/>
              <w:noProof/>
              <w:kern w:val="2"/>
              <w:sz w:val="24"/>
              <w:szCs w:val="24"/>
              <w:lang w:eastAsia="en-IE"/>
              <w14:ligatures w14:val="standardContextual"/>
            </w:rPr>
          </w:pPr>
          <w:hyperlink w:anchor="_Toc171069207" w:history="1">
            <w:r w:rsidRPr="0000694A">
              <w:rPr>
                <w:rStyle w:val="Hyperlink"/>
                <w:rFonts w:ascii="Verdana" w:hAnsi="Verdana"/>
                <w:noProof/>
                <w:sz w:val="24"/>
                <w:szCs w:val="24"/>
              </w:rPr>
              <w:t>Energy Poverty</w:t>
            </w:r>
            <w:r w:rsidRPr="0000694A">
              <w:rPr>
                <w:rFonts w:ascii="Verdana" w:hAnsi="Verdana"/>
                <w:noProof/>
                <w:webHidden/>
                <w:sz w:val="24"/>
                <w:szCs w:val="24"/>
              </w:rPr>
              <w:tab/>
            </w:r>
            <w:r w:rsidRPr="0000694A">
              <w:rPr>
                <w:rFonts w:ascii="Verdana" w:hAnsi="Verdana"/>
                <w:noProof/>
                <w:webHidden/>
                <w:sz w:val="24"/>
                <w:szCs w:val="24"/>
              </w:rPr>
              <w:fldChar w:fldCharType="begin"/>
            </w:r>
            <w:r w:rsidRPr="0000694A">
              <w:rPr>
                <w:rFonts w:ascii="Verdana" w:hAnsi="Verdana"/>
                <w:noProof/>
                <w:webHidden/>
                <w:sz w:val="24"/>
                <w:szCs w:val="24"/>
              </w:rPr>
              <w:instrText xml:space="preserve"> PAGEREF _Toc171069207 \h </w:instrText>
            </w:r>
            <w:r w:rsidRPr="0000694A">
              <w:rPr>
                <w:rFonts w:ascii="Verdana" w:hAnsi="Verdana"/>
                <w:noProof/>
                <w:webHidden/>
                <w:sz w:val="24"/>
                <w:szCs w:val="24"/>
              </w:rPr>
            </w:r>
            <w:r w:rsidRPr="0000694A">
              <w:rPr>
                <w:rFonts w:ascii="Verdana" w:hAnsi="Verdana"/>
                <w:noProof/>
                <w:webHidden/>
                <w:sz w:val="24"/>
                <w:szCs w:val="24"/>
              </w:rPr>
              <w:fldChar w:fldCharType="separate"/>
            </w:r>
            <w:r w:rsidR="00A020F3">
              <w:rPr>
                <w:rFonts w:ascii="Verdana" w:hAnsi="Verdana"/>
                <w:noProof/>
                <w:webHidden/>
                <w:sz w:val="24"/>
                <w:szCs w:val="24"/>
              </w:rPr>
              <w:t>17</w:t>
            </w:r>
            <w:r w:rsidRPr="0000694A">
              <w:rPr>
                <w:rFonts w:ascii="Verdana" w:hAnsi="Verdana"/>
                <w:noProof/>
                <w:webHidden/>
                <w:sz w:val="24"/>
                <w:szCs w:val="24"/>
              </w:rPr>
              <w:fldChar w:fldCharType="end"/>
            </w:r>
          </w:hyperlink>
        </w:p>
        <w:p w14:paraId="11DB8E3A" w14:textId="0FD84ACE" w:rsidR="0000694A" w:rsidRPr="0000694A" w:rsidRDefault="0000694A">
          <w:pPr>
            <w:pStyle w:val="TOC1"/>
            <w:tabs>
              <w:tab w:val="right" w:leader="dot" w:pos="9016"/>
            </w:tabs>
            <w:rPr>
              <w:rFonts w:ascii="Verdana" w:eastAsiaTheme="minorEastAsia" w:hAnsi="Verdana"/>
              <w:noProof/>
              <w:kern w:val="2"/>
              <w:sz w:val="24"/>
              <w:szCs w:val="24"/>
              <w:lang w:eastAsia="en-IE"/>
              <w14:ligatures w14:val="standardContextual"/>
            </w:rPr>
          </w:pPr>
          <w:hyperlink w:anchor="_Toc171069208" w:history="1">
            <w:r w:rsidRPr="0000694A">
              <w:rPr>
                <w:rStyle w:val="Hyperlink"/>
                <w:rFonts w:ascii="Verdana" w:hAnsi="Verdana"/>
                <w:noProof/>
                <w:sz w:val="24"/>
                <w:szCs w:val="24"/>
                <w:lang w:val="en-GB"/>
              </w:rPr>
              <w:t>ESRI Recommendations and Reports</w:t>
            </w:r>
            <w:r w:rsidRPr="0000694A">
              <w:rPr>
                <w:rFonts w:ascii="Verdana" w:hAnsi="Verdana"/>
                <w:noProof/>
                <w:webHidden/>
                <w:sz w:val="24"/>
                <w:szCs w:val="24"/>
              </w:rPr>
              <w:tab/>
            </w:r>
            <w:r w:rsidRPr="0000694A">
              <w:rPr>
                <w:rFonts w:ascii="Verdana" w:hAnsi="Verdana"/>
                <w:noProof/>
                <w:webHidden/>
                <w:sz w:val="24"/>
                <w:szCs w:val="24"/>
              </w:rPr>
              <w:fldChar w:fldCharType="begin"/>
            </w:r>
            <w:r w:rsidRPr="0000694A">
              <w:rPr>
                <w:rFonts w:ascii="Verdana" w:hAnsi="Verdana"/>
                <w:noProof/>
                <w:webHidden/>
                <w:sz w:val="24"/>
                <w:szCs w:val="24"/>
              </w:rPr>
              <w:instrText xml:space="preserve"> PAGEREF _Toc171069208 \h </w:instrText>
            </w:r>
            <w:r w:rsidRPr="0000694A">
              <w:rPr>
                <w:rFonts w:ascii="Verdana" w:hAnsi="Verdana"/>
                <w:noProof/>
                <w:webHidden/>
                <w:sz w:val="24"/>
                <w:szCs w:val="24"/>
              </w:rPr>
            </w:r>
            <w:r w:rsidRPr="0000694A">
              <w:rPr>
                <w:rFonts w:ascii="Verdana" w:hAnsi="Verdana"/>
                <w:noProof/>
                <w:webHidden/>
                <w:sz w:val="24"/>
                <w:szCs w:val="24"/>
              </w:rPr>
              <w:fldChar w:fldCharType="separate"/>
            </w:r>
            <w:r w:rsidR="00A020F3">
              <w:rPr>
                <w:rFonts w:ascii="Verdana" w:hAnsi="Verdana"/>
                <w:noProof/>
                <w:webHidden/>
                <w:sz w:val="24"/>
                <w:szCs w:val="24"/>
              </w:rPr>
              <w:t>18</w:t>
            </w:r>
            <w:r w:rsidRPr="0000694A">
              <w:rPr>
                <w:rFonts w:ascii="Verdana" w:hAnsi="Verdana"/>
                <w:noProof/>
                <w:webHidden/>
                <w:sz w:val="24"/>
                <w:szCs w:val="24"/>
              </w:rPr>
              <w:fldChar w:fldCharType="end"/>
            </w:r>
          </w:hyperlink>
        </w:p>
        <w:p w14:paraId="2EEC1453" w14:textId="46A57764" w:rsidR="0000694A" w:rsidRPr="0000694A" w:rsidRDefault="0000694A">
          <w:pPr>
            <w:pStyle w:val="TOC1"/>
            <w:tabs>
              <w:tab w:val="right" w:leader="dot" w:pos="9016"/>
            </w:tabs>
            <w:rPr>
              <w:rFonts w:ascii="Verdana" w:eastAsiaTheme="minorEastAsia" w:hAnsi="Verdana"/>
              <w:noProof/>
              <w:kern w:val="2"/>
              <w:sz w:val="24"/>
              <w:szCs w:val="24"/>
              <w:lang w:eastAsia="en-IE"/>
              <w14:ligatures w14:val="standardContextual"/>
            </w:rPr>
          </w:pPr>
          <w:hyperlink w:anchor="_Toc171069209" w:history="1">
            <w:r w:rsidRPr="0000694A">
              <w:rPr>
                <w:rStyle w:val="Hyperlink"/>
                <w:rFonts w:ascii="Verdana" w:hAnsi="Verdana"/>
                <w:noProof/>
                <w:sz w:val="24"/>
                <w:szCs w:val="24"/>
                <w:lang w:val="en-GB"/>
              </w:rPr>
              <w:t>Recommendations to Ireland of UN Committee on Economic, Social and Cultural Rights</w:t>
            </w:r>
            <w:r w:rsidRPr="0000694A">
              <w:rPr>
                <w:rFonts w:ascii="Verdana" w:hAnsi="Verdana"/>
                <w:noProof/>
                <w:webHidden/>
                <w:sz w:val="24"/>
                <w:szCs w:val="24"/>
              </w:rPr>
              <w:tab/>
            </w:r>
            <w:r w:rsidRPr="0000694A">
              <w:rPr>
                <w:rFonts w:ascii="Verdana" w:hAnsi="Verdana"/>
                <w:noProof/>
                <w:webHidden/>
                <w:sz w:val="24"/>
                <w:szCs w:val="24"/>
              </w:rPr>
              <w:fldChar w:fldCharType="begin"/>
            </w:r>
            <w:r w:rsidRPr="0000694A">
              <w:rPr>
                <w:rFonts w:ascii="Verdana" w:hAnsi="Verdana"/>
                <w:noProof/>
                <w:webHidden/>
                <w:sz w:val="24"/>
                <w:szCs w:val="24"/>
              </w:rPr>
              <w:instrText xml:space="preserve"> PAGEREF _Toc171069209 \h </w:instrText>
            </w:r>
            <w:r w:rsidRPr="0000694A">
              <w:rPr>
                <w:rFonts w:ascii="Verdana" w:hAnsi="Verdana"/>
                <w:noProof/>
                <w:webHidden/>
                <w:sz w:val="24"/>
                <w:szCs w:val="24"/>
              </w:rPr>
            </w:r>
            <w:r w:rsidRPr="0000694A">
              <w:rPr>
                <w:rFonts w:ascii="Verdana" w:hAnsi="Verdana"/>
                <w:noProof/>
                <w:webHidden/>
                <w:sz w:val="24"/>
                <w:szCs w:val="24"/>
              </w:rPr>
              <w:fldChar w:fldCharType="separate"/>
            </w:r>
            <w:r w:rsidR="00A020F3">
              <w:rPr>
                <w:rFonts w:ascii="Verdana" w:hAnsi="Verdana"/>
                <w:noProof/>
                <w:webHidden/>
                <w:sz w:val="24"/>
                <w:szCs w:val="24"/>
              </w:rPr>
              <w:t>19</w:t>
            </w:r>
            <w:r w:rsidRPr="0000694A">
              <w:rPr>
                <w:rFonts w:ascii="Verdana" w:hAnsi="Verdana"/>
                <w:noProof/>
                <w:webHidden/>
                <w:sz w:val="24"/>
                <w:szCs w:val="24"/>
              </w:rPr>
              <w:fldChar w:fldCharType="end"/>
            </w:r>
          </w:hyperlink>
        </w:p>
        <w:p w14:paraId="31D4720B" w14:textId="7EEA799A" w:rsidR="0000694A" w:rsidRPr="0000694A" w:rsidRDefault="0000694A">
          <w:pPr>
            <w:pStyle w:val="TOC1"/>
            <w:tabs>
              <w:tab w:val="right" w:leader="dot" w:pos="9016"/>
            </w:tabs>
            <w:rPr>
              <w:rFonts w:ascii="Verdana" w:eastAsiaTheme="minorEastAsia" w:hAnsi="Verdana"/>
              <w:noProof/>
              <w:kern w:val="2"/>
              <w:sz w:val="24"/>
              <w:szCs w:val="24"/>
              <w:lang w:eastAsia="en-IE"/>
              <w14:ligatures w14:val="standardContextual"/>
            </w:rPr>
          </w:pPr>
          <w:hyperlink w:anchor="_Toc171069210" w:history="1">
            <w:r w:rsidRPr="0000694A">
              <w:rPr>
                <w:rStyle w:val="Hyperlink"/>
                <w:rFonts w:ascii="Verdana" w:hAnsi="Verdana"/>
                <w:noProof/>
                <w:sz w:val="24"/>
                <w:szCs w:val="24"/>
              </w:rPr>
              <w:t>Benchmarking: Minimum Essential Standard of Living Required (Factoring in extra Cost of Disability)</w:t>
            </w:r>
            <w:r w:rsidRPr="0000694A">
              <w:rPr>
                <w:rFonts w:ascii="Verdana" w:hAnsi="Verdana"/>
                <w:noProof/>
                <w:webHidden/>
                <w:sz w:val="24"/>
                <w:szCs w:val="24"/>
              </w:rPr>
              <w:tab/>
            </w:r>
            <w:r w:rsidRPr="0000694A">
              <w:rPr>
                <w:rFonts w:ascii="Verdana" w:hAnsi="Verdana"/>
                <w:noProof/>
                <w:webHidden/>
                <w:sz w:val="24"/>
                <w:szCs w:val="24"/>
              </w:rPr>
              <w:fldChar w:fldCharType="begin"/>
            </w:r>
            <w:r w:rsidRPr="0000694A">
              <w:rPr>
                <w:rFonts w:ascii="Verdana" w:hAnsi="Verdana"/>
                <w:noProof/>
                <w:webHidden/>
                <w:sz w:val="24"/>
                <w:szCs w:val="24"/>
              </w:rPr>
              <w:instrText xml:space="preserve"> PAGEREF _Toc171069210 \h </w:instrText>
            </w:r>
            <w:r w:rsidRPr="0000694A">
              <w:rPr>
                <w:rFonts w:ascii="Verdana" w:hAnsi="Verdana"/>
                <w:noProof/>
                <w:webHidden/>
                <w:sz w:val="24"/>
                <w:szCs w:val="24"/>
              </w:rPr>
            </w:r>
            <w:r w:rsidRPr="0000694A">
              <w:rPr>
                <w:rFonts w:ascii="Verdana" w:hAnsi="Verdana"/>
                <w:noProof/>
                <w:webHidden/>
                <w:sz w:val="24"/>
                <w:szCs w:val="24"/>
              </w:rPr>
              <w:fldChar w:fldCharType="separate"/>
            </w:r>
            <w:r w:rsidR="00A020F3">
              <w:rPr>
                <w:rFonts w:ascii="Verdana" w:hAnsi="Verdana"/>
                <w:noProof/>
                <w:webHidden/>
                <w:sz w:val="24"/>
                <w:szCs w:val="24"/>
              </w:rPr>
              <w:t>20</w:t>
            </w:r>
            <w:r w:rsidRPr="0000694A">
              <w:rPr>
                <w:rFonts w:ascii="Verdana" w:hAnsi="Verdana"/>
                <w:noProof/>
                <w:webHidden/>
                <w:sz w:val="24"/>
                <w:szCs w:val="24"/>
              </w:rPr>
              <w:fldChar w:fldCharType="end"/>
            </w:r>
          </w:hyperlink>
        </w:p>
        <w:p w14:paraId="3E27EB2F" w14:textId="58FB9AEA" w:rsidR="0000694A" w:rsidRPr="0000694A" w:rsidRDefault="0000694A">
          <w:pPr>
            <w:pStyle w:val="TOC1"/>
            <w:tabs>
              <w:tab w:val="right" w:leader="dot" w:pos="9016"/>
            </w:tabs>
            <w:rPr>
              <w:rFonts w:ascii="Verdana" w:eastAsiaTheme="minorEastAsia" w:hAnsi="Verdana"/>
              <w:noProof/>
              <w:kern w:val="2"/>
              <w:sz w:val="24"/>
              <w:szCs w:val="24"/>
              <w:lang w:eastAsia="en-IE"/>
              <w14:ligatures w14:val="standardContextual"/>
            </w:rPr>
          </w:pPr>
          <w:hyperlink w:anchor="_Toc171069211" w:history="1">
            <w:r w:rsidRPr="0000694A">
              <w:rPr>
                <w:rStyle w:val="Hyperlink"/>
                <w:rFonts w:ascii="Verdana" w:hAnsi="Verdana"/>
                <w:noProof/>
                <w:sz w:val="24"/>
                <w:szCs w:val="24"/>
              </w:rPr>
              <w:t>Budget 2024: Poverty and Disability Impact Assessment</w:t>
            </w:r>
            <w:r w:rsidRPr="0000694A">
              <w:rPr>
                <w:rFonts w:ascii="Verdana" w:hAnsi="Verdana"/>
                <w:noProof/>
                <w:webHidden/>
                <w:sz w:val="24"/>
                <w:szCs w:val="24"/>
              </w:rPr>
              <w:tab/>
            </w:r>
            <w:r w:rsidRPr="0000694A">
              <w:rPr>
                <w:rFonts w:ascii="Verdana" w:hAnsi="Verdana"/>
                <w:noProof/>
                <w:webHidden/>
                <w:sz w:val="24"/>
                <w:szCs w:val="24"/>
              </w:rPr>
              <w:fldChar w:fldCharType="begin"/>
            </w:r>
            <w:r w:rsidRPr="0000694A">
              <w:rPr>
                <w:rFonts w:ascii="Verdana" w:hAnsi="Verdana"/>
                <w:noProof/>
                <w:webHidden/>
                <w:sz w:val="24"/>
                <w:szCs w:val="24"/>
              </w:rPr>
              <w:instrText xml:space="preserve"> PAGEREF _Toc171069211 \h </w:instrText>
            </w:r>
            <w:r w:rsidRPr="0000694A">
              <w:rPr>
                <w:rFonts w:ascii="Verdana" w:hAnsi="Verdana"/>
                <w:noProof/>
                <w:webHidden/>
                <w:sz w:val="24"/>
                <w:szCs w:val="24"/>
              </w:rPr>
            </w:r>
            <w:r w:rsidRPr="0000694A">
              <w:rPr>
                <w:rFonts w:ascii="Verdana" w:hAnsi="Verdana"/>
                <w:noProof/>
                <w:webHidden/>
                <w:sz w:val="24"/>
                <w:szCs w:val="24"/>
              </w:rPr>
              <w:fldChar w:fldCharType="separate"/>
            </w:r>
            <w:r w:rsidR="00A020F3">
              <w:rPr>
                <w:rFonts w:ascii="Verdana" w:hAnsi="Verdana"/>
                <w:noProof/>
                <w:webHidden/>
                <w:sz w:val="24"/>
                <w:szCs w:val="24"/>
              </w:rPr>
              <w:t>21</w:t>
            </w:r>
            <w:r w:rsidRPr="0000694A">
              <w:rPr>
                <w:rFonts w:ascii="Verdana" w:hAnsi="Verdana"/>
                <w:noProof/>
                <w:webHidden/>
                <w:sz w:val="24"/>
                <w:szCs w:val="24"/>
              </w:rPr>
              <w:fldChar w:fldCharType="end"/>
            </w:r>
          </w:hyperlink>
        </w:p>
        <w:p w14:paraId="1C764617" w14:textId="1EFF0671" w:rsidR="0000694A" w:rsidRPr="0000694A" w:rsidRDefault="0000694A">
          <w:pPr>
            <w:pStyle w:val="TOC1"/>
            <w:tabs>
              <w:tab w:val="right" w:leader="dot" w:pos="9016"/>
            </w:tabs>
            <w:rPr>
              <w:rFonts w:ascii="Verdana" w:eastAsiaTheme="minorEastAsia" w:hAnsi="Verdana"/>
              <w:noProof/>
              <w:kern w:val="2"/>
              <w:sz w:val="24"/>
              <w:szCs w:val="24"/>
              <w:lang w:eastAsia="en-IE"/>
              <w14:ligatures w14:val="standardContextual"/>
            </w:rPr>
          </w:pPr>
          <w:hyperlink w:anchor="_Toc171069212" w:history="1">
            <w:r w:rsidRPr="0000694A">
              <w:rPr>
                <w:rStyle w:val="Hyperlink"/>
                <w:rFonts w:ascii="Verdana" w:hAnsi="Verdana"/>
                <w:noProof/>
                <w:sz w:val="24"/>
                <w:szCs w:val="24"/>
              </w:rPr>
              <w:t>Disabled People’s Dependence on Additional Needs Payments</w:t>
            </w:r>
            <w:r w:rsidRPr="0000694A">
              <w:rPr>
                <w:rFonts w:ascii="Verdana" w:hAnsi="Verdana"/>
                <w:noProof/>
                <w:webHidden/>
                <w:sz w:val="24"/>
                <w:szCs w:val="24"/>
              </w:rPr>
              <w:tab/>
            </w:r>
            <w:r w:rsidRPr="0000694A">
              <w:rPr>
                <w:rFonts w:ascii="Verdana" w:hAnsi="Verdana"/>
                <w:noProof/>
                <w:webHidden/>
                <w:sz w:val="24"/>
                <w:szCs w:val="24"/>
              </w:rPr>
              <w:fldChar w:fldCharType="begin"/>
            </w:r>
            <w:r w:rsidRPr="0000694A">
              <w:rPr>
                <w:rFonts w:ascii="Verdana" w:hAnsi="Verdana"/>
                <w:noProof/>
                <w:webHidden/>
                <w:sz w:val="24"/>
                <w:szCs w:val="24"/>
              </w:rPr>
              <w:instrText xml:space="preserve"> PAGEREF _Toc171069212 \h </w:instrText>
            </w:r>
            <w:r w:rsidRPr="0000694A">
              <w:rPr>
                <w:rFonts w:ascii="Verdana" w:hAnsi="Verdana"/>
                <w:noProof/>
                <w:webHidden/>
                <w:sz w:val="24"/>
                <w:szCs w:val="24"/>
              </w:rPr>
            </w:r>
            <w:r w:rsidRPr="0000694A">
              <w:rPr>
                <w:rFonts w:ascii="Verdana" w:hAnsi="Verdana"/>
                <w:noProof/>
                <w:webHidden/>
                <w:sz w:val="24"/>
                <w:szCs w:val="24"/>
              </w:rPr>
              <w:fldChar w:fldCharType="separate"/>
            </w:r>
            <w:r w:rsidR="00A020F3">
              <w:rPr>
                <w:rFonts w:ascii="Verdana" w:hAnsi="Verdana"/>
                <w:noProof/>
                <w:webHidden/>
                <w:sz w:val="24"/>
                <w:szCs w:val="24"/>
              </w:rPr>
              <w:t>22</w:t>
            </w:r>
            <w:r w:rsidRPr="0000694A">
              <w:rPr>
                <w:rFonts w:ascii="Verdana" w:hAnsi="Verdana"/>
                <w:noProof/>
                <w:webHidden/>
                <w:sz w:val="24"/>
                <w:szCs w:val="24"/>
              </w:rPr>
              <w:fldChar w:fldCharType="end"/>
            </w:r>
          </w:hyperlink>
        </w:p>
        <w:p w14:paraId="006B95EF" w14:textId="76800FD6" w:rsidR="0000694A" w:rsidRPr="0000694A" w:rsidRDefault="0000694A">
          <w:pPr>
            <w:pStyle w:val="TOC1"/>
            <w:tabs>
              <w:tab w:val="right" w:leader="dot" w:pos="9016"/>
            </w:tabs>
            <w:rPr>
              <w:rFonts w:ascii="Verdana" w:eastAsiaTheme="minorEastAsia" w:hAnsi="Verdana"/>
              <w:noProof/>
              <w:kern w:val="2"/>
              <w:sz w:val="24"/>
              <w:szCs w:val="24"/>
              <w:lang w:eastAsia="en-IE"/>
              <w14:ligatures w14:val="standardContextual"/>
            </w:rPr>
          </w:pPr>
          <w:hyperlink w:anchor="_Toc171069213" w:history="1">
            <w:r w:rsidRPr="0000694A">
              <w:rPr>
                <w:rStyle w:val="Hyperlink"/>
                <w:rFonts w:ascii="Verdana" w:hAnsi="Verdana"/>
                <w:noProof/>
                <w:sz w:val="24"/>
                <w:szCs w:val="24"/>
                <w:lang w:val="en-GB"/>
              </w:rPr>
              <w:t>Budget 2025: Time to Prioritise Disabled People</w:t>
            </w:r>
            <w:r w:rsidRPr="0000694A">
              <w:rPr>
                <w:rFonts w:ascii="Verdana" w:hAnsi="Verdana"/>
                <w:noProof/>
                <w:webHidden/>
                <w:sz w:val="24"/>
                <w:szCs w:val="24"/>
              </w:rPr>
              <w:tab/>
            </w:r>
            <w:r w:rsidRPr="0000694A">
              <w:rPr>
                <w:rFonts w:ascii="Verdana" w:hAnsi="Verdana"/>
                <w:noProof/>
                <w:webHidden/>
                <w:sz w:val="24"/>
                <w:szCs w:val="24"/>
              </w:rPr>
              <w:fldChar w:fldCharType="begin"/>
            </w:r>
            <w:r w:rsidRPr="0000694A">
              <w:rPr>
                <w:rFonts w:ascii="Verdana" w:hAnsi="Verdana"/>
                <w:noProof/>
                <w:webHidden/>
                <w:sz w:val="24"/>
                <w:szCs w:val="24"/>
              </w:rPr>
              <w:instrText xml:space="preserve"> PAGEREF _Toc171069213 \h </w:instrText>
            </w:r>
            <w:r w:rsidRPr="0000694A">
              <w:rPr>
                <w:rFonts w:ascii="Verdana" w:hAnsi="Verdana"/>
                <w:noProof/>
                <w:webHidden/>
                <w:sz w:val="24"/>
                <w:szCs w:val="24"/>
              </w:rPr>
            </w:r>
            <w:r w:rsidRPr="0000694A">
              <w:rPr>
                <w:rFonts w:ascii="Verdana" w:hAnsi="Verdana"/>
                <w:noProof/>
                <w:webHidden/>
                <w:sz w:val="24"/>
                <w:szCs w:val="24"/>
              </w:rPr>
              <w:fldChar w:fldCharType="separate"/>
            </w:r>
            <w:r w:rsidR="00A020F3">
              <w:rPr>
                <w:rFonts w:ascii="Verdana" w:hAnsi="Verdana"/>
                <w:noProof/>
                <w:webHidden/>
                <w:sz w:val="24"/>
                <w:szCs w:val="24"/>
              </w:rPr>
              <w:t>22</w:t>
            </w:r>
            <w:r w:rsidRPr="0000694A">
              <w:rPr>
                <w:rFonts w:ascii="Verdana" w:hAnsi="Verdana"/>
                <w:noProof/>
                <w:webHidden/>
                <w:sz w:val="24"/>
                <w:szCs w:val="24"/>
              </w:rPr>
              <w:fldChar w:fldCharType="end"/>
            </w:r>
          </w:hyperlink>
        </w:p>
        <w:p w14:paraId="79BE87BE" w14:textId="3A63A06E" w:rsidR="00DF012D" w:rsidRDefault="00DF012D">
          <w:r w:rsidRPr="0000694A">
            <w:rPr>
              <w:rFonts w:ascii="Verdana" w:hAnsi="Verdana"/>
              <w:sz w:val="24"/>
              <w:szCs w:val="24"/>
              <w:lang w:val="en-GB"/>
            </w:rPr>
            <w:fldChar w:fldCharType="end"/>
          </w:r>
        </w:p>
      </w:sdtContent>
    </w:sdt>
    <w:p w14:paraId="4F2AF251" w14:textId="77777777" w:rsidR="00754B52" w:rsidRDefault="00754B52" w:rsidP="0063288E">
      <w:pPr>
        <w:pStyle w:val="Heading1"/>
        <w:rPr>
          <w:sz w:val="24"/>
          <w:szCs w:val="24"/>
        </w:rPr>
      </w:pPr>
    </w:p>
    <w:p w14:paraId="168211B4" w14:textId="77777777" w:rsidR="00754B52" w:rsidRDefault="00754B52" w:rsidP="0063288E">
      <w:pPr>
        <w:pStyle w:val="Heading1"/>
        <w:rPr>
          <w:sz w:val="24"/>
          <w:szCs w:val="24"/>
        </w:rPr>
      </w:pPr>
    </w:p>
    <w:p w14:paraId="0174A8B7" w14:textId="77777777" w:rsidR="00CB1659" w:rsidRDefault="00CB1659" w:rsidP="00CB1659"/>
    <w:p w14:paraId="0791CF9D" w14:textId="77777777" w:rsidR="00CB1659" w:rsidRDefault="00CB1659" w:rsidP="00CB1659"/>
    <w:p w14:paraId="6134406A" w14:textId="77777777" w:rsidR="00CB1659" w:rsidRDefault="00CB1659" w:rsidP="00CB1659"/>
    <w:p w14:paraId="47D12650" w14:textId="77777777" w:rsidR="00CB1659" w:rsidRDefault="00CB1659" w:rsidP="00CB1659"/>
    <w:p w14:paraId="05EC7140" w14:textId="77777777" w:rsidR="00CB1659" w:rsidRPr="00CB1659" w:rsidRDefault="00CB1659" w:rsidP="00CB1659"/>
    <w:p w14:paraId="51DC0F24" w14:textId="35E8D644" w:rsidR="00CD0887" w:rsidRPr="0063288E" w:rsidRDefault="00AD4792" w:rsidP="0063288E">
      <w:pPr>
        <w:pStyle w:val="Heading1"/>
        <w:rPr>
          <w:sz w:val="24"/>
          <w:szCs w:val="24"/>
        </w:rPr>
      </w:pPr>
      <w:bookmarkStart w:id="0" w:name="_Toc171069192"/>
      <w:r w:rsidRPr="0063288E">
        <w:rPr>
          <w:sz w:val="24"/>
          <w:szCs w:val="24"/>
        </w:rPr>
        <w:lastRenderedPageBreak/>
        <w:t>Executive Summary</w:t>
      </w:r>
      <w:r w:rsidR="00FE2E24" w:rsidRPr="0063288E">
        <w:rPr>
          <w:sz w:val="24"/>
          <w:szCs w:val="24"/>
        </w:rPr>
        <w:t xml:space="preserve"> </w:t>
      </w:r>
      <w:r w:rsidR="00191CCE">
        <w:rPr>
          <w:sz w:val="24"/>
          <w:szCs w:val="24"/>
        </w:rPr>
        <w:t>and Budget 2025 Asks</w:t>
      </w:r>
      <w:bookmarkEnd w:id="0"/>
    </w:p>
    <w:p w14:paraId="60423FB3" w14:textId="7CB61819" w:rsidR="00CD0887" w:rsidRPr="00140E1A" w:rsidRDefault="00CD0887" w:rsidP="00CD0887">
      <w:pPr>
        <w:spacing w:line="276" w:lineRule="auto"/>
        <w:rPr>
          <w:rFonts w:ascii="Verdana" w:hAnsi="Verdana" w:cstheme="minorHAnsi"/>
          <w:sz w:val="24"/>
          <w:szCs w:val="24"/>
          <w:lang w:val="en-GB"/>
        </w:rPr>
      </w:pPr>
      <w:r>
        <w:rPr>
          <w:rFonts w:ascii="Verdana" w:hAnsi="Verdana" w:cstheme="minorHAnsi"/>
          <w:sz w:val="24"/>
          <w:szCs w:val="24"/>
        </w:rPr>
        <w:t xml:space="preserve">Year in and year out, disabled people in Ireland live with permanent and deep economic precarity, deprivation and poverty. </w:t>
      </w:r>
      <w:r w:rsidRPr="00140E1A">
        <w:rPr>
          <w:rFonts w:ascii="Verdana" w:hAnsi="Verdana" w:cstheme="minorHAnsi"/>
          <w:sz w:val="24"/>
          <w:szCs w:val="24"/>
          <w:lang w:val="en-GB"/>
        </w:rPr>
        <w:t xml:space="preserve">Despite a healthy economic context, and another likely budget surplus in 2024, many people with disabilities are still left to survive on incomes that are below the poverty line and have been eroded by inflation in recent years. Moreover the ‘full employment’ currently being experienced glosses over the fact that our disability employment rates remain amongst the worst in </w:t>
      </w:r>
      <w:r w:rsidR="001156B4">
        <w:rPr>
          <w:rFonts w:ascii="Verdana" w:hAnsi="Verdana" w:cstheme="minorHAnsi"/>
          <w:sz w:val="24"/>
          <w:szCs w:val="24"/>
          <w:lang w:val="en-GB"/>
        </w:rPr>
        <w:t>the EU</w:t>
      </w:r>
      <w:r w:rsidRPr="00140E1A">
        <w:rPr>
          <w:rFonts w:ascii="Verdana" w:hAnsi="Verdana" w:cstheme="minorHAnsi"/>
          <w:sz w:val="24"/>
          <w:szCs w:val="24"/>
          <w:lang w:val="en-GB"/>
        </w:rPr>
        <w:t>.</w:t>
      </w:r>
    </w:p>
    <w:p w14:paraId="6892AEBC" w14:textId="70C7843F" w:rsidR="00CD0887" w:rsidRDefault="00CD0887" w:rsidP="00CD0887">
      <w:pPr>
        <w:spacing w:line="276" w:lineRule="auto"/>
        <w:rPr>
          <w:rFonts w:ascii="Verdana" w:hAnsi="Verdana"/>
          <w:sz w:val="24"/>
          <w:szCs w:val="24"/>
          <w:lang w:val="en-GB"/>
        </w:rPr>
      </w:pPr>
      <w:r>
        <w:rPr>
          <w:rFonts w:ascii="Verdana" w:hAnsi="Verdana"/>
          <w:sz w:val="24"/>
          <w:szCs w:val="24"/>
          <w:lang w:val="en-GB"/>
        </w:rPr>
        <w:t>While the specific numbers change, it is a constant that those disabled people who rely on our social protection system to survive experience much higher rates of poverty and deprivation than the general population. Ongoing systemic inequalities and structural barriers perpetuate this.</w:t>
      </w:r>
    </w:p>
    <w:p w14:paraId="5E465409" w14:textId="77777777" w:rsidR="00CD0887" w:rsidRDefault="00CD0887" w:rsidP="00CD0887">
      <w:pPr>
        <w:rPr>
          <w:rFonts w:ascii="Verdana" w:hAnsi="Verdana"/>
          <w:sz w:val="24"/>
          <w:szCs w:val="24"/>
          <w:lang w:val="en-GB"/>
        </w:rPr>
      </w:pPr>
      <w:r>
        <w:rPr>
          <w:rFonts w:ascii="Verdana" w:hAnsi="Verdana"/>
          <w:sz w:val="24"/>
          <w:szCs w:val="24"/>
          <w:lang w:val="en-GB"/>
        </w:rPr>
        <w:t>Last year 44.7%</w:t>
      </w:r>
      <w:r w:rsidRPr="002E3AA1">
        <w:rPr>
          <w:rFonts w:ascii="Verdana" w:hAnsi="Verdana"/>
          <w:sz w:val="24"/>
          <w:szCs w:val="24"/>
          <w:lang w:val="en-GB"/>
        </w:rPr>
        <w:t xml:space="preserve"> </w:t>
      </w:r>
      <w:r>
        <w:rPr>
          <w:rFonts w:ascii="Verdana" w:hAnsi="Verdana"/>
          <w:sz w:val="24"/>
          <w:szCs w:val="24"/>
          <w:lang w:val="en-GB"/>
        </w:rPr>
        <w:t xml:space="preserve">of people unable to work due to long standing health difficulty (disability) lived in enforced deprivation, unable to afford basic essentials like heating, new clothes, or socialising with friends or family. </w:t>
      </w:r>
    </w:p>
    <w:p w14:paraId="4B12D322" w14:textId="77777777" w:rsidR="00CD0887" w:rsidRDefault="00CD0887" w:rsidP="00CD0887">
      <w:pPr>
        <w:rPr>
          <w:rFonts w:ascii="Verdana" w:hAnsi="Verdana"/>
          <w:sz w:val="24"/>
          <w:szCs w:val="24"/>
          <w:lang w:val="en-GB"/>
        </w:rPr>
      </w:pPr>
      <w:r>
        <w:rPr>
          <w:rFonts w:ascii="Verdana" w:hAnsi="Verdana"/>
          <w:sz w:val="24"/>
          <w:szCs w:val="24"/>
          <w:lang w:val="en-GB"/>
        </w:rPr>
        <w:t xml:space="preserve">Something is wrong with our social protection system if it accepts that to be disabled to the extent that you cannot work means that you will struggle to get by on an inadequate income for the rest of your life. Current social protection supports maintain </w:t>
      </w:r>
      <w:r w:rsidRPr="009C1D9D">
        <w:rPr>
          <w:rFonts w:ascii="Verdana" w:hAnsi="Verdana"/>
          <w:sz w:val="24"/>
          <w:szCs w:val="24"/>
          <w:lang w:val="en-GB"/>
        </w:rPr>
        <w:t>thousands of people below the poverty line and</w:t>
      </w:r>
      <w:r>
        <w:rPr>
          <w:rFonts w:ascii="Verdana" w:hAnsi="Verdana"/>
          <w:sz w:val="24"/>
          <w:szCs w:val="24"/>
          <w:lang w:val="en-GB"/>
        </w:rPr>
        <w:t xml:space="preserve"> leave them</w:t>
      </w:r>
      <w:r w:rsidRPr="009C1D9D">
        <w:rPr>
          <w:rFonts w:ascii="Verdana" w:hAnsi="Verdana"/>
          <w:sz w:val="24"/>
          <w:szCs w:val="24"/>
          <w:lang w:val="en-GB"/>
        </w:rPr>
        <w:t xml:space="preserve"> unable to afford </w:t>
      </w:r>
      <w:r>
        <w:rPr>
          <w:rFonts w:ascii="Verdana" w:hAnsi="Verdana"/>
          <w:sz w:val="24"/>
          <w:szCs w:val="24"/>
          <w:lang w:val="en-GB"/>
        </w:rPr>
        <w:t>the basics, let alone</w:t>
      </w:r>
      <w:r w:rsidRPr="009C1D9D">
        <w:rPr>
          <w:rFonts w:ascii="Verdana" w:hAnsi="Verdana"/>
          <w:sz w:val="24"/>
          <w:szCs w:val="24"/>
          <w:lang w:val="en-GB"/>
        </w:rPr>
        <w:t xml:space="preserve"> a decent standard of living</w:t>
      </w:r>
      <w:r>
        <w:rPr>
          <w:rFonts w:ascii="Verdana" w:hAnsi="Verdana"/>
          <w:sz w:val="24"/>
          <w:szCs w:val="24"/>
          <w:lang w:val="en-GB"/>
        </w:rPr>
        <w:t xml:space="preserve">. </w:t>
      </w:r>
    </w:p>
    <w:p w14:paraId="2C3A8E7A" w14:textId="77777777" w:rsidR="00CD0887" w:rsidRDefault="00CD0887" w:rsidP="00CD0887">
      <w:pPr>
        <w:rPr>
          <w:rFonts w:ascii="Verdana" w:hAnsi="Verdana"/>
          <w:sz w:val="24"/>
          <w:szCs w:val="24"/>
          <w:lang w:val="en-GB"/>
        </w:rPr>
      </w:pPr>
      <w:r>
        <w:rPr>
          <w:rFonts w:ascii="Verdana" w:hAnsi="Verdana"/>
          <w:sz w:val="24"/>
          <w:szCs w:val="24"/>
          <w:lang w:val="en-GB"/>
        </w:rPr>
        <w:t xml:space="preserve">A truly effective social protection system offers support to all people at different points in their </w:t>
      </w:r>
      <w:proofErr w:type="gramStart"/>
      <w:r>
        <w:rPr>
          <w:rFonts w:ascii="Verdana" w:hAnsi="Verdana"/>
          <w:sz w:val="24"/>
          <w:szCs w:val="24"/>
          <w:lang w:val="en-GB"/>
        </w:rPr>
        <w:t>lives, and</w:t>
      </w:r>
      <w:proofErr w:type="gramEnd"/>
      <w:r>
        <w:rPr>
          <w:rFonts w:ascii="Verdana" w:hAnsi="Verdana"/>
          <w:sz w:val="24"/>
          <w:szCs w:val="24"/>
          <w:lang w:val="en-GB"/>
        </w:rPr>
        <w:t xml:space="preserve"> would protect people from poverty. All people with disabilities should have an income that is above the poverty line, sufficient to live a dignified life and participate in their community, and to cover disability related costs</w:t>
      </w:r>
      <w:r w:rsidRPr="00883262">
        <w:rPr>
          <w:rFonts w:ascii="Verdana" w:hAnsi="Verdana"/>
          <w:sz w:val="24"/>
          <w:szCs w:val="24"/>
          <w:lang w:val="en-GB"/>
        </w:rPr>
        <w:t>.</w:t>
      </w:r>
      <w:r>
        <w:rPr>
          <w:rFonts w:ascii="Verdana" w:hAnsi="Verdana"/>
          <w:sz w:val="24"/>
          <w:szCs w:val="24"/>
          <w:lang w:val="en-GB"/>
        </w:rPr>
        <w:t xml:space="preserve"> </w:t>
      </w:r>
    </w:p>
    <w:p w14:paraId="5D78B0F7" w14:textId="77777777" w:rsidR="00CD0887" w:rsidRDefault="00CD0887" w:rsidP="00CD0887">
      <w:pPr>
        <w:rPr>
          <w:rFonts w:ascii="Verdana" w:hAnsi="Verdana"/>
          <w:sz w:val="24"/>
          <w:szCs w:val="24"/>
          <w:lang w:val="en-GB"/>
        </w:rPr>
      </w:pPr>
      <w:r>
        <w:rPr>
          <w:rFonts w:ascii="Verdana" w:hAnsi="Verdana"/>
          <w:sz w:val="24"/>
          <w:szCs w:val="24"/>
          <w:lang w:val="en-GB"/>
        </w:rPr>
        <w:t>Alarmingly, last year Ireland ranked 22</w:t>
      </w:r>
      <w:r w:rsidRPr="002324CF">
        <w:rPr>
          <w:rFonts w:ascii="Verdana" w:hAnsi="Verdana"/>
          <w:sz w:val="24"/>
          <w:szCs w:val="24"/>
          <w:vertAlign w:val="superscript"/>
          <w:lang w:val="en-GB"/>
        </w:rPr>
        <w:t>nd</w:t>
      </w:r>
      <w:r>
        <w:rPr>
          <w:rFonts w:ascii="Verdana" w:hAnsi="Verdana"/>
          <w:sz w:val="24"/>
          <w:szCs w:val="24"/>
          <w:lang w:val="en-GB"/>
        </w:rPr>
        <w:t xml:space="preserve"> of the EU 27 on disability poverty. Instead of delivering on the government’s Roadmap for Social Inclusion target to reduce disability poverty, the rate actually increased. Targeted action and resources, a Cost of Disability payment, and a specific disability poverty reduction plan, is required to address this. </w:t>
      </w:r>
      <w:r>
        <w:rPr>
          <w:rFonts w:ascii="Verdana" w:hAnsi="Verdana"/>
          <w:sz w:val="24"/>
          <w:szCs w:val="24"/>
        </w:rPr>
        <w:t>There is a strong public and political support for ensuring that disabled have an income sufficient to protect them from poverty</w:t>
      </w:r>
      <w:r>
        <w:rPr>
          <w:rFonts w:ascii="Verdana" w:hAnsi="Verdana"/>
          <w:sz w:val="24"/>
          <w:szCs w:val="24"/>
          <w:lang w:val="en-GB"/>
        </w:rPr>
        <w:t xml:space="preserve"> and enable them to live a dignified and independent life, equal to others. </w:t>
      </w:r>
    </w:p>
    <w:p w14:paraId="7A29DAFA" w14:textId="77777777" w:rsidR="00CD0887" w:rsidRDefault="00CD0887" w:rsidP="00CD0887">
      <w:pPr>
        <w:rPr>
          <w:rFonts w:ascii="Verdana" w:hAnsi="Verdana"/>
          <w:sz w:val="24"/>
          <w:szCs w:val="24"/>
          <w:lang w:val="en-GB"/>
        </w:rPr>
      </w:pPr>
      <w:r>
        <w:rPr>
          <w:rFonts w:ascii="Verdana" w:hAnsi="Verdana"/>
          <w:sz w:val="24"/>
          <w:szCs w:val="24"/>
          <w:lang w:val="en-GB"/>
        </w:rPr>
        <w:t>It is very concerning that the ESRI’s assessment of Budget 2024 showed that looking at permanent measures alone poverty rates of disabled people would increase</w:t>
      </w:r>
      <w:r w:rsidRPr="00573D41">
        <w:rPr>
          <w:rFonts w:ascii="Verdana" w:hAnsi="Verdana"/>
          <w:sz w:val="24"/>
          <w:szCs w:val="24"/>
          <w:lang w:val="en-GB"/>
        </w:rPr>
        <w:t>.</w:t>
      </w:r>
      <w:r>
        <w:rPr>
          <w:rFonts w:ascii="Verdana" w:hAnsi="Verdana"/>
          <w:sz w:val="24"/>
          <w:szCs w:val="24"/>
          <w:lang w:val="en-GB"/>
        </w:rPr>
        <w:t xml:space="preserve"> Core social protection rates have not kept pace with inflation, and that is without considering the extra Cost of Disability. </w:t>
      </w:r>
      <w:proofErr w:type="gramStart"/>
      <w:r>
        <w:rPr>
          <w:rFonts w:ascii="Verdana" w:hAnsi="Verdana"/>
          <w:sz w:val="24"/>
          <w:szCs w:val="24"/>
          <w:lang w:val="en-GB"/>
        </w:rPr>
        <w:t>Moreover</w:t>
      </w:r>
      <w:proofErr w:type="gramEnd"/>
      <w:r>
        <w:rPr>
          <w:rFonts w:ascii="Verdana" w:hAnsi="Verdana"/>
          <w:sz w:val="24"/>
          <w:szCs w:val="24"/>
          <w:lang w:val="en-GB"/>
        </w:rPr>
        <w:t xml:space="preserve"> even the potential higher payment rates indicated in the Green </w:t>
      </w:r>
      <w:r>
        <w:rPr>
          <w:rFonts w:ascii="Verdana" w:hAnsi="Verdana"/>
          <w:sz w:val="24"/>
          <w:szCs w:val="24"/>
          <w:lang w:val="en-GB"/>
        </w:rPr>
        <w:lastRenderedPageBreak/>
        <w:t>Paper on Disability Reform were significantly below the poverty line, let alone sufficient to address the extra Cost of Disability.</w:t>
      </w:r>
    </w:p>
    <w:p w14:paraId="32C2B490" w14:textId="77777777" w:rsidR="00CD0887" w:rsidRDefault="00CD0887" w:rsidP="00CD0887">
      <w:pPr>
        <w:rPr>
          <w:rFonts w:ascii="Verdana" w:hAnsi="Verdana"/>
          <w:sz w:val="24"/>
          <w:szCs w:val="24"/>
        </w:rPr>
      </w:pPr>
      <w:r>
        <w:rPr>
          <w:rFonts w:ascii="Verdana" w:hAnsi="Verdana"/>
          <w:sz w:val="24"/>
          <w:szCs w:val="24"/>
          <w:lang w:val="en-GB"/>
        </w:rPr>
        <w:t xml:space="preserve">While the reform proposed in the Green Paper was not the right approach, positive change and reform is urgently needed. Sticking to the current system and levels of social protection provision will see people with disabilities continue to be pushed into poverty. </w:t>
      </w:r>
    </w:p>
    <w:p w14:paraId="7295C902" w14:textId="77777777" w:rsidR="00CD0887" w:rsidRPr="006B5555" w:rsidRDefault="00CD0887" w:rsidP="00CD0887">
      <w:pPr>
        <w:rPr>
          <w:rFonts w:ascii="Verdana" w:hAnsi="Verdana"/>
          <w:sz w:val="24"/>
          <w:szCs w:val="24"/>
        </w:rPr>
      </w:pPr>
      <w:r w:rsidRPr="00E055BE">
        <w:rPr>
          <w:rFonts w:ascii="Verdana" w:hAnsi="Verdana"/>
          <w:sz w:val="24"/>
          <w:szCs w:val="24"/>
        </w:rPr>
        <w:t>This is the last budget of the current government</w:t>
      </w:r>
      <w:r>
        <w:rPr>
          <w:rFonts w:ascii="Verdana" w:hAnsi="Verdana"/>
          <w:sz w:val="24"/>
          <w:szCs w:val="24"/>
        </w:rPr>
        <w:t>, and</w:t>
      </w:r>
      <w:r w:rsidRPr="00E055BE">
        <w:rPr>
          <w:rFonts w:ascii="Verdana" w:hAnsi="Verdana"/>
          <w:sz w:val="24"/>
          <w:szCs w:val="24"/>
        </w:rPr>
        <w:t xml:space="preserve"> </w:t>
      </w:r>
      <w:r>
        <w:rPr>
          <w:rFonts w:ascii="Verdana" w:hAnsi="Verdana"/>
          <w:sz w:val="24"/>
          <w:szCs w:val="24"/>
        </w:rPr>
        <w:t>a</w:t>
      </w:r>
      <w:r w:rsidRPr="00E055BE">
        <w:rPr>
          <w:rFonts w:ascii="Verdana" w:hAnsi="Verdana"/>
          <w:sz w:val="24"/>
          <w:szCs w:val="24"/>
        </w:rPr>
        <w:t xml:space="preserve"> last chance to leave a positive legacy </w:t>
      </w:r>
      <w:r>
        <w:rPr>
          <w:rFonts w:ascii="Verdana" w:hAnsi="Verdana"/>
          <w:sz w:val="24"/>
          <w:szCs w:val="24"/>
        </w:rPr>
        <w:t xml:space="preserve">and finally start to turn the tide on disability poverty. </w:t>
      </w:r>
    </w:p>
    <w:p w14:paraId="1474CF52" w14:textId="352E94CF" w:rsidR="00CD0887" w:rsidRPr="007E587D" w:rsidRDefault="00CD0887" w:rsidP="003413E5">
      <w:pPr>
        <w:rPr>
          <w:rFonts w:ascii="Verdana" w:hAnsi="Verdana"/>
          <w:sz w:val="24"/>
          <w:szCs w:val="24"/>
        </w:rPr>
      </w:pPr>
      <w:r w:rsidRPr="003C11E3">
        <w:rPr>
          <w:rFonts w:ascii="Verdana" w:hAnsi="Verdana"/>
          <w:sz w:val="24"/>
          <w:szCs w:val="24"/>
        </w:rPr>
        <w:t>Change is possible</w:t>
      </w:r>
      <w:r>
        <w:rPr>
          <w:rFonts w:ascii="Verdana" w:hAnsi="Verdana"/>
          <w:sz w:val="24"/>
          <w:szCs w:val="24"/>
        </w:rPr>
        <w:t>.</w:t>
      </w:r>
      <w:r w:rsidRPr="003C11E3">
        <w:rPr>
          <w:rFonts w:ascii="Verdana" w:hAnsi="Verdana"/>
          <w:sz w:val="24"/>
          <w:szCs w:val="24"/>
        </w:rPr>
        <w:t xml:space="preserve"> Our government can make different choices.</w:t>
      </w:r>
      <w:r>
        <w:rPr>
          <w:rFonts w:ascii="Verdana" w:hAnsi="Verdana"/>
          <w:sz w:val="24"/>
          <w:szCs w:val="24"/>
        </w:rPr>
        <w:t xml:space="preserve"> </w:t>
      </w:r>
      <w:r>
        <w:rPr>
          <w:rFonts w:ascii="Verdana" w:hAnsi="Verdana"/>
          <w:sz w:val="24"/>
          <w:szCs w:val="24"/>
          <w:lang w:val="en-GB"/>
        </w:rPr>
        <w:t xml:space="preserve">Budget 2025 offers an opportunity to correct previous </w:t>
      </w:r>
      <w:proofErr w:type="gramStart"/>
      <w:r>
        <w:rPr>
          <w:rFonts w:ascii="Verdana" w:hAnsi="Verdana"/>
          <w:sz w:val="24"/>
          <w:szCs w:val="24"/>
          <w:lang w:val="en-GB"/>
        </w:rPr>
        <w:t>errors, and</w:t>
      </w:r>
      <w:proofErr w:type="gramEnd"/>
      <w:r>
        <w:rPr>
          <w:rFonts w:ascii="Verdana" w:hAnsi="Verdana"/>
          <w:sz w:val="24"/>
          <w:szCs w:val="24"/>
          <w:lang w:val="en-GB"/>
        </w:rPr>
        <w:t xml:space="preserve"> start to chart a path towards a social protection approach that really supports disabled people to live equal to others. The government has an opportunity in this budget to leave a positive legacy for disabled citizens and their </w:t>
      </w:r>
      <w:proofErr w:type="gramStart"/>
      <w:r>
        <w:rPr>
          <w:rFonts w:ascii="Verdana" w:hAnsi="Verdana"/>
          <w:sz w:val="24"/>
          <w:szCs w:val="24"/>
          <w:lang w:val="en-GB"/>
        </w:rPr>
        <w:t>families, and</w:t>
      </w:r>
      <w:proofErr w:type="gramEnd"/>
      <w:r>
        <w:rPr>
          <w:rFonts w:ascii="Verdana" w:hAnsi="Verdana"/>
          <w:sz w:val="24"/>
          <w:szCs w:val="24"/>
          <w:lang w:val="en-GB"/>
        </w:rPr>
        <w:t xml:space="preserve"> make progress on its </w:t>
      </w:r>
      <w:r w:rsidRPr="002B6650">
        <w:rPr>
          <w:rFonts w:ascii="Verdana" w:hAnsi="Verdana"/>
          <w:sz w:val="24"/>
          <w:szCs w:val="24"/>
          <w:lang w:val="en-GB"/>
        </w:rPr>
        <w:t>commitments</w:t>
      </w:r>
      <w:r>
        <w:rPr>
          <w:rFonts w:ascii="Verdana" w:hAnsi="Verdana"/>
          <w:sz w:val="24"/>
          <w:szCs w:val="24"/>
          <w:lang w:val="en-GB"/>
        </w:rPr>
        <w:t xml:space="preserve">. </w:t>
      </w:r>
    </w:p>
    <w:p w14:paraId="0C83AA2C" w14:textId="25CC4446" w:rsidR="00F96665" w:rsidRPr="00F82D54" w:rsidRDefault="001C3A7B" w:rsidP="00B8241A">
      <w:pPr>
        <w:spacing w:line="276" w:lineRule="auto"/>
        <w:rPr>
          <w:rFonts w:ascii="Verdana" w:hAnsi="Verdana"/>
          <w:sz w:val="24"/>
          <w:szCs w:val="24"/>
        </w:rPr>
      </w:pPr>
      <w:r w:rsidRPr="00F82D54">
        <w:rPr>
          <w:rFonts w:ascii="Verdana" w:hAnsi="Verdana"/>
          <w:sz w:val="24"/>
          <w:szCs w:val="24"/>
        </w:rPr>
        <w:t>In Budget 202</w:t>
      </w:r>
      <w:r w:rsidR="004E033E">
        <w:rPr>
          <w:rFonts w:ascii="Verdana" w:hAnsi="Verdana"/>
          <w:sz w:val="24"/>
          <w:szCs w:val="24"/>
        </w:rPr>
        <w:t>5</w:t>
      </w:r>
      <w:r w:rsidRPr="00F82D54">
        <w:rPr>
          <w:rFonts w:ascii="Verdana" w:hAnsi="Verdana"/>
          <w:sz w:val="24"/>
          <w:szCs w:val="24"/>
        </w:rPr>
        <w:t xml:space="preserve">, DFI calls on the </w:t>
      </w:r>
      <w:r w:rsidR="00BA19A8" w:rsidRPr="00F82D54">
        <w:rPr>
          <w:rFonts w:ascii="Verdana" w:hAnsi="Verdana"/>
          <w:sz w:val="24"/>
          <w:szCs w:val="24"/>
        </w:rPr>
        <w:t>G</w:t>
      </w:r>
      <w:r w:rsidRPr="00F82D54">
        <w:rPr>
          <w:rFonts w:ascii="Verdana" w:hAnsi="Verdana"/>
          <w:sz w:val="24"/>
          <w:szCs w:val="24"/>
        </w:rPr>
        <w:t>overnment</w:t>
      </w:r>
      <w:r w:rsidR="001E5582" w:rsidRPr="00F82D54">
        <w:rPr>
          <w:rFonts w:ascii="Verdana" w:hAnsi="Verdana"/>
          <w:sz w:val="24"/>
          <w:szCs w:val="24"/>
        </w:rPr>
        <w:t xml:space="preserve"> and the Department of Social Protection</w:t>
      </w:r>
      <w:r w:rsidRPr="00F82D54">
        <w:rPr>
          <w:rFonts w:ascii="Verdana" w:hAnsi="Verdana"/>
          <w:sz w:val="24"/>
          <w:szCs w:val="24"/>
        </w:rPr>
        <w:t xml:space="preserve"> to:</w:t>
      </w:r>
    </w:p>
    <w:p w14:paraId="1A17B290" w14:textId="4986E1BC" w:rsidR="004757A2" w:rsidRPr="004757A2" w:rsidRDefault="004757A2" w:rsidP="001C3A7B">
      <w:pPr>
        <w:pStyle w:val="paragraph"/>
        <w:textAlignment w:val="baseline"/>
        <w:rPr>
          <w:rFonts w:ascii="Verdana" w:hAnsi="Verdana"/>
          <w:b/>
          <w:bCs/>
        </w:rPr>
      </w:pPr>
      <w:r w:rsidRPr="004757A2">
        <w:rPr>
          <w:rFonts w:ascii="Verdana" w:hAnsi="Verdana"/>
          <w:b/>
          <w:bCs/>
        </w:rPr>
        <w:t>Poverty</w:t>
      </w:r>
      <w:r w:rsidR="005C271E">
        <w:rPr>
          <w:rFonts w:ascii="Verdana" w:hAnsi="Verdana"/>
          <w:b/>
          <w:bCs/>
        </w:rPr>
        <w:t xml:space="preserve"> and Cost of Disability</w:t>
      </w:r>
    </w:p>
    <w:p w14:paraId="498995F8" w14:textId="66F81521" w:rsidR="00F133E8" w:rsidRDefault="00DB4A8E" w:rsidP="00722D04">
      <w:pPr>
        <w:pStyle w:val="ListParagraph"/>
        <w:numPr>
          <w:ilvl w:val="0"/>
          <w:numId w:val="11"/>
        </w:numPr>
        <w:rPr>
          <w:rFonts w:ascii="Verdana" w:hAnsi="Verdana"/>
          <w:sz w:val="24"/>
          <w:szCs w:val="24"/>
        </w:rPr>
      </w:pPr>
      <w:r>
        <w:rPr>
          <w:rFonts w:ascii="Verdana" w:hAnsi="Verdana"/>
          <w:sz w:val="24"/>
          <w:szCs w:val="24"/>
        </w:rPr>
        <w:t>I</w:t>
      </w:r>
      <w:r w:rsidR="00F133E8" w:rsidRPr="53FD6888">
        <w:rPr>
          <w:rFonts w:ascii="Verdana" w:hAnsi="Verdana"/>
          <w:sz w:val="24"/>
          <w:szCs w:val="24"/>
        </w:rPr>
        <w:t>ntroduce a</w:t>
      </w:r>
      <w:r w:rsidR="00933239" w:rsidRPr="00933239">
        <w:rPr>
          <w:rFonts w:ascii="Verdana" w:hAnsi="Verdana"/>
          <w:sz w:val="24"/>
          <w:szCs w:val="24"/>
        </w:rPr>
        <w:t xml:space="preserve"> recurring </w:t>
      </w:r>
      <w:r w:rsidR="00933239" w:rsidRPr="00933239">
        <w:rPr>
          <w:rFonts w:ascii="Verdana" w:hAnsi="Verdana"/>
          <w:b/>
          <w:bCs/>
          <w:sz w:val="24"/>
          <w:szCs w:val="24"/>
        </w:rPr>
        <w:t>Cost of Disability payment</w:t>
      </w:r>
      <w:r w:rsidR="00933239" w:rsidRPr="00933239">
        <w:rPr>
          <w:rFonts w:ascii="Verdana" w:hAnsi="Verdana"/>
          <w:sz w:val="24"/>
          <w:szCs w:val="24"/>
        </w:rPr>
        <w:t xml:space="preserve"> of</w:t>
      </w:r>
      <w:r w:rsidR="005A6C56">
        <w:rPr>
          <w:rFonts w:ascii="Verdana" w:hAnsi="Verdana"/>
          <w:sz w:val="24"/>
          <w:szCs w:val="24"/>
        </w:rPr>
        <w:t xml:space="preserve"> €2,600 a year,</w:t>
      </w:r>
      <w:r w:rsidR="00933239" w:rsidRPr="00933239">
        <w:rPr>
          <w:rFonts w:ascii="Verdana" w:hAnsi="Verdana"/>
          <w:sz w:val="24"/>
          <w:szCs w:val="24"/>
        </w:rPr>
        <w:t xml:space="preserve"> </w:t>
      </w:r>
      <w:r w:rsidR="005A6C56">
        <w:rPr>
          <w:rFonts w:ascii="Verdana" w:hAnsi="Verdana"/>
          <w:sz w:val="24"/>
          <w:szCs w:val="24"/>
        </w:rPr>
        <w:t>or</w:t>
      </w:r>
      <w:r w:rsidR="00933239" w:rsidRPr="00933239">
        <w:rPr>
          <w:rFonts w:ascii="Verdana" w:hAnsi="Verdana"/>
          <w:sz w:val="24"/>
          <w:szCs w:val="24"/>
        </w:rPr>
        <w:t xml:space="preserve"> €</w:t>
      </w:r>
      <w:r w:rsidR="005D7FC0">
        <w:rPr>
          <w:rFonts w:ascii="Verdana" w:hAnsi="Verdana"/>
          <w:sz w:val="24"/>
          <w:szCs w:val="24"/>
        </w:rPr>
        <w:t>5</w:t>
      </w:r>
      <w:r w:rsidR="00933239" w:rsidRPr="00933239">
        <w:rPr>
          <w:rFonts w:ascii="Verdana" w:hAnsi="Verdana"/>
          <w:sz w:val="24"/>
          <w:szCs w:val="24"/>
        </w:rPr>
        <w:t>0 a week</w:t>
      </w:r>
      <w:r w:rsidR="00A0760A">
        <w:rPr>
          <w:rFonts w:ascii="Verdana" w:hAnsi="Verdana"/>
          <w:sz w:val="24"/>
          <w:szCs w:val="24"/>
        </w:rPr>
        <w:t>,</w:t>
      </w:r>
      <w:r w:rsidR="004F6EB2">
        <w:rPr>
          <w:rFonts w:ascii="Verdana" w:hAnsi="Verdana"/>
          <w:sz w:val="24"/>
          <w:szCs w:val="24"/>
        </w:rPr>
        <w:t xml:space="preserve"> </w:t>
      </w:r>
      <w:r w:rsidR="00F133E8" w:rsidRPr="00722D04">
        <w:rPr>
          <w:rFonts w:ascii="Verdana" w:hAnsi="Verdana"/>
          <w:sz w:val="24"/>
          <w:szCs w:val="24"/>
        </w:rPr>
        <w:t>as an interim measure</w:t>
      </w:r>
      <w:r w:rsidR="00481DC1" w:rsidRPr="00722D04">
        <w:rPr>
          <w:rFonts w:ascii="Verdana" w:hAnsi="Verdana"/>
          <w:sz w:val="24"/>
          <w:szCs w:val="24"/>
        </w:rPr>
        <w:t xml:space="preserve"> to start to address the </w:t>
      </w:r>
      <w:r w:rsidR="00B36334">
        <w:rPr>
          <w:rFonts w:ascii="Verdana" w:hAnsi="Verdana"/>
          <w:sz w:val="24"/>
          <w:szCs w:val="24"/>
        </w:rPr>
        <w:t>C</w:t>
      </w:r>
      <w:r w:rsidR="00481DC1" w:rsidRPr="00722D04">
        <w:rPr>
          <w:rFonts w:ascii="Verdana" w:hAnsi="Verdana"/>
          <w:sz w:val="24"/>
          <w:szCs w:val="24"/>
        </w:rPr>
        <w:t xml:space="preserve">ost of </w:t>
      </w:r>
      <w:r w:rsidR="00B36334">
        <w:rPr>
          <w:rFonts w:ascii="Verdana" w:hAnsi="Verdana"/>
          <w:sz w:val="24"/>
          <w:szCs w:val="24"/>
        </w:rPr>
        <w:t>D</w:t>
      </w:r>
      <w:r w:rsidR="00481DC1" w:rsidRPr="00722D04">
        <w:rPr>
          <w:rFonts w:ascii="Verdana" w:hAnsi="Verdana"/>
          <w:sz w:val="24"/>
          <w:szCs w:val="24"/>
        </w:rPr>
        <w:t>isa</w:t>
      </w:r>
      <w:r w:rsidR="00481DC1" w:rsidRPr="006737F5">
        <w:rPr>
          <w:rFonts w:ascii="Verdana" w:hAnsi="Verdana"/>
          <w:sz w:val="24"/>
          <w:szCs w:val="24"/>
        </w:rPr>
        <w:t>bility</w:t>
      </w:r>
      <w:r w:rsidR="00FA593D" w:rsidRPr="006737F5">
        <w:rPr>
          <w:rFonts w:ascii="Verdana" w:hAnsi="Verdana"/>
          <w:sz w:val="24"/>
          <w:szCs w:val="24"/>
        </w:rPr>
        <w:t xml:space="preserve">; to </w:t>
      </w:r>
      <w:r w:rsidR="00E32214" w:rsidRPr="006737F5">
        <w:rPr>
          <w:rFonts w:ascii="Verdana" w:hAnsi="Verdana"/>
          <w:sz w:val="24"/>
          <w:szCs w:val="24"/>
        </w:rPr>
        <w:t xml:space="preserve">build on and </w:t>
      </w:r>
      <w:r w:rsidR="00FA593D" w:rsidRPr="006737F5">
        <w:rPr>
          <w:rFonts w:ascii="Verdana" w:hAnsi="Verdana"/>
          <w:sz w:val="24"/>
          <w:szCs w:val="24"/>
        </w:rPr>
        <w:t xml:space="preserve">replace the </w:t>
      </w:r>
      <w:r w:rsidR="00D25CAC" w:rsidRPr="006737F5">
        <w:rPr>
          <w:rFonts w:ascii="Verdana" w:hAnsi="Verdana"/>
          <w:sz w:val="24"/>
          <w:szCs w:val="24"/>
        </w:rPr>
        <w:t>D</w:t>
      </w:r>
      <w:r w:rsidR="00FA593D" w:rsidRPr="006737F5">
        <w:rPr>
          <w:rFonts w:ascii="Verdana" w:hAnsi="Verdana"/>
          <w:sz w:val="24"/>
          <w:szCs w:val="24"/>
        </w:rPr>
        <w:t xml:space="preserve">isability </w:t>
      </w:r>
      <w:r w:rsidR="00D25CAC" w:rsidRPr="006737F5">
        <w:rPr>
          <w:rFonts w:ascii="Verdana" w:hAnsi="Verdana"/>
          <w:sz w:val="24"/>
          <w:szCs w:val="24"/>
        </w:rPr>
        <w:t>S</w:t>
      </w:r>
      <w:r w:rsidR="00FA593D" w:rsidRPr="006737F5">
        <w:rPr>
          <w:rFonts w:ascii="Verdana" w:hAnsi="Verdana"/>
          <w:sz w:val="24"/>
          <w:szCs w:val="24"/>
        </w:rPr>
        <w:t xml:space="preserve">upport </w:t>
      </w:r>
      <w:r w:rsidR="00D25CAC" w:rsidRPr="006737F5">
        <w:rPr>
          <w:rFonts w:ascii="Verdana" w:hAnsi="Verdana"/>
          <w:sz w:val="24"/>
          <w:szCs w:val="24"/>
        </w:rPr>
        <w:t>G</w:t>
      </w:r>
      <w:r w:rsidR="00FA593D" w:rsidRPr="006737F5">
        <w:rPr>
          <w:rFonts w:ascii="Verdana" w:hAnsi="Verdana"/>
          <w:sz w:val="24"/>
          <w:szCs w:val="24"/>
        </w:rPr>
        <w:t>rant</w:t>
      </w:r>
      <w:r w:rsidR="00E32214" w:rsidRPr="006737F5">
        <w:rPr>
          <w:rFonts w:ascii="Verdana" w:hAnsi="Verdana"/>
          <w:sz w:val="24"/>
          <w:szCs w:val="24"/>
        </w:rPr>
        <w:t xml:space="preserve"> introduced in Budget 2023 and maintained in Budget 2024</w:t>
      </w:r>
      <w:r w:rsidR="006737F5">
        <w:rPr>
          <w:rFonts w:ascii="Verdana" w:hAnsi="Verdana"/>
          <w:sz w:val="24"/>
          <w:szCs w:val="24"/>
        </w:rPr>
        <w:t xml:space="preserve"> (cost: </w:t>
      </w:r>
      <w:r w:rsidR="00D9704F">
        <w:rPr>
          <w:rFonts w:ascii="Verdana" w:hAnsi="Verdana"/>
          <w:sz w:val="24"/>
          <w:szCs w:val="24"/>
        </w:rPr>
        <w:t>€698 million</w:t>
      </w:r>
      <w:r w:rsidR="00E917A4">
        <w:rPr>
          <w:rFonts w:ascii="Verdana" w:hAnsi="Verdana"/>
          <w:sz w:val="24"/>
          <w:szCs w:val="24"/>
        </w:rPr>
        <w:t>)</w:t>
      </w:r>
      <w:r w:rsidR="00FA593D" w:rsidRPr="006737F5">
        <w:rPr>
          <w:rFonts w:ascii="Verdana" w:hAnsi="Verdana"/>
          <w:sz w:val="24"/>
          <w:szCs w:val="24"/>
        </w:rPr>
        <w:t>.</w:t>
      </w:r>
      <w:r w:rsidR="00FA593D">
        <w:rPr>
          <w:rFonts w:ascii="Verdana" w:hAnsi="Verdana"/>
          <w:sz w:val="24"/>
          <w:szCs w:val="24"/>
        </w:rPr>
        <w:t xml:space="preserve"> </w:t>
      </w:r>
      <w:r w:rsidR="00194682">
        <w:rPr>
          <w:rFonts w:ascii="Verdana" w:hAnsi="Verdana"/>
          <w:sz w:val="24"/>
          <w:szCs w:val="24"/>
        </w:rPr>
        <w:t xml:space="preserve"> </w:t>
      </w:r>
      <w:r w:rsidR="00F133E8" w:rsidRPr="00722D04">
        <w:rPr>
          <w:rFonts w:ascii="Verdana" w:hAnsi="Verdana"/>
          <w:sz w:val="24"/>
          <w:szCs w:val="24"/>
        </w:rPr>
        <w:t xml:space="preserve"> </w:t>
      </w:r>
    </w:p>
    <w:p w14:paraId="58FEF57F" w14:textId="58CFE580" w:rsidR="005500E6" w:rsidRDefault="005500E6" w:rsidP="00482BC2">
      <w:pPr>
        <w:pStyle w:val="ListParagraph"/>
        <w:numPr>
          <w:ilvl w:val="0"/>
          <w:numId w:val="11"/>
        </w:numPr>
        <w:rPr>
          <w:rFonts w:ascii="Verdana" w:hAnsi="Verdana"/>
          <w:sz w:val="24"/>
          <w:szCs w:val="24"/>
          <w:lang w:val="en-GB"/>
        </w:rPr>
      </w:pPr>
      <w:r w:rsidRPr="00482BC2">
        <w:rPr>
          <w:rFonts w:ascii="Verdana" w:hAnsi="Verdana"/>
          <w:sz w:val="24"/>
          <w:szCs w:val="24"/>
          <w:lang w:val="en-GB"/>
        </w:rPr>
        <w:t xml:space="preserve">In addition, </w:t>
      </w:r>
      <w:r w:rsidR="00482BC2">
        <w:rPr>
          <w:rFonts w:ascii="Verdana" w:hAnsi="Verdana"/>
          <w:sz w:val="24"/>
          <w:szCs w:val="24"/>
          <w:lang w:val="en-GB"/>
        </w:rPr>
        <w:t>g</w:t>
      </w:r>
      <w:r w:rsidR="00482BC2" w:rsidRPr="00482BC2">
        <w:rPr>
          <w:rFonts w:ascii="Verdana" w:hAnsi="Verdana"/>
          <w:sz w:val="24"/>
          <w:szCs w:val="24"/>
          <w:lang w:val="en-GB"/>
        </w:rPr>
        <w:t xml:space="preserve">ive households stability and certainty </w:t>
      </w:r>
      <w:r w:rsidR="00482BC2" w:rsidRPr="00C32372">
        <w:rPr>
          <w:rFonts w:ascii="Verdana" w:hAnsi="Verdana"/>
          <w:b/>
          <w:bCs/>
          <w:sz w:val="24"/>
          <w:szCs w:val="24"/>
          <w:lang w:val="en-GB"/>
        </w:rPr>
        <w:t>by increasing core rates of social protection by at minimum €20</w:t>
      </w:r>
      <w:r w:rsidR="00482BC2" w:rsidRPr="00482BC2">
        <w:rPr>
          <w:rFonts w:ascii="Verdana" w:hAnsi="Verdana"/>
          <w:sz w:val="24"/>
          <w:szCs w:val="24"/>
          <w:lang w:val="en-GB"/>
        </w:rPr>
        <w:t xml:space="preserve"> to restore the purchasing power of the payment to 2020 levels and improve the adequacy of the payment based on MESL data</w:t>
      </w:r>
      <w:r w:rsidR="000717F8">
        <w:rPr>
          <w:rFonts w:ascii="Verdana" w:hAnsi="Verdana"/>
          <w:sz w:val="24"/>
          <w:szCs w:val="24"/>
          <w:lang w:val="en-GB"/>
        </w:rPr>
        <w:t>.</w:t>
      </w:r>
      <w:r w:rsidR="00EE4905">
        <w:rPr>
          <w:rStyle w:val="FootnoteReference"/>
          <w:rFonts w:ascii="Verdana" w:hAnsi="Verdana"/>
          <w:sz w:val="24"/>
          <w:szCs w:val="24"/>
          <w:lang w:val="en-GB"/>
        </w:rPr>
        <w:footnoteReference w:id="2"/>
      </w:r>
      <w:r w:rsidRPr="00482BC2">
        <w:rPr>
          <w:rFonts w:ascii="Verdana" w:hAnsi="Verdana"/>
          <w:sz w:val="24"/>
          <w:szCs w:val="24"/>
          <w:lang w:val="en-GB"/>
        </w:rPr>
        <w:t xml:space="preserve"> </w:t>
      </w:r>
    </w:p>
    <w:p w14:paraId="6991ABC9" w14:textId="54DD2C2E" w:rsidR="004757A2" w:rsidRPr="00291C7A" w:rsidRDefault="004757A2" w:rsidP="00291C7A">
      <w:pPr>
        <w:rPr>
          <w:rFonts w:ascii="Verdana" w:hAnsi="Verdana"/>
          <w:sz w:val="24"/>
          <w:szCs w:val="24"/>
          <w:lang w:val="en-GB"/>
        </w:rPr>
      </w:pPr>
      <w:r w:rsidRPr="008B74E6">
        <w:rPr>
          <w:rFonts w:ascii="Verdana" w:hAnsi="Verdana"/>
          <w:b/>
          <w:bCs/>
          <w:sz w:val="24"/>
          <w:szCs w:val="24"/>
        </w:rPr>
        <w:t>Employment</w:t>
      </w:r>
    </w:p>
    <w:p w14:paraId="2B5DA1F8" w14:textId="3981AA6B" w:rsidR="007F35CA" w:rsidRPr="00EE2246" w:rsidRDefault="000D514F" w:rsidP="00EE2246">
      <w:pPr>
        <w:pStyle w:val="ListParagraph"/>
        <w:numPr>
          <w:ilvl w:val="0"/>
          <w:numId w:val="11"/>
        </w:numPr>
        <w:rPr>
          <w:rFonts w:ascii="Verdana" w:hAnsi="Verdana"/>
          <w:sz w:val="24"/>
          <w:szCs w:val="24"/>
        </w:rPr>
      </w:pPr>
      <w:r w:rsidRPr="00905309">
        <w:rPr>
          <w:rFonts w:ascii="Verdana" w:hAnsi="Verdana"/>
          <w:b/>
          <w:bCs/>
          <w:sz w:val="24"/>
          <w:szCs w:val="24"/>
        </w:rPr>
        <w:t>Raise the income disregard</w:t>
      </w:r>
      <w:r w:rsidRPr="00931F34">
        <w:rPr>
          <w:rFonts w:ascii="Verdana" w:hAnsi="Verdana"/>
          <w:sz w:val="24"/>
          <w:szCs w:val="24"/>
        </w:rPr>
        <w:t xml:space="preserve"> by</w:t>
      </w:r>
      <w:r w:rsidR="00827FAB">
        <w:rPr>
          <w:rFonts w:ascii="Verdana" w:hAnsi="Verdana"/>
          <w:sz w:val="24"/>
          <w:szCs w:val="24"/>
        </w:rPr>
        <w:t xml:space="preserve"> at </w:t>
      </w:r>
      <w:r w:rsidR="00827FAB" w:rsidRPr="009E7F26">
        <w:rPr>
          <w:rFonts w:ascii="Verdana" w:hAnsi="Verdana"/>
          <w:b/>
          <w:bCs/>
          <w:sz w:val="24"/>
          <w:szCs w:val="24"/>
        </w:rPr>
        <w:t>minimum</w:t>
      </w:r>
      <w:r w:rsidRPr="009E7F26">
        <w:rPr>
          <w:rFonts w:ascii="Verdana" w:hAnsi="Verdana"/>
          <w:b/>
          <w:bCs/>
          <w:sz w:val="24"/>
          <w:szCs w:val="24"/>
        </w:rPr>
        <w:t xml:space="preserve"> €25</w:t>
      </w:r>
      <w:r w:rsidRPr="00931F34">
        <w:rPr>
          <w:rFonts w:ascii="Verdana" w:hAnsi="Verdana"/>
          <w:sz w:val="24"/>
          <w:szCs w:val="24"/>
        </w:rPr>
        <w:t xml:space="preserve"> and </w:t>
      </w:r>
      <w:r w:rsidR="00EE2246">
        <w:rPr>
          <w:rFonts w:ascii="Verdana" w:hAnsi="Verdana"/>
          <w:sz w:val="24"/>
          <w:szCs w:val="24"/>
        </w:rPr>
        <w:t>i</w:t>
      </w:r>
      <w:r w:rsidR="007F35CA" w:rsidRPr="00EE2246">
        <w:rPr>
          <w:rFonts w:ascii="Verdana" w:hAnsi="Verdana"/>
          <w:sz w:val="24"/>
          <w:szCs w:val="24"/>
        </w:rPr>
        <w:t xml:space="preserve">ncrease the </w:t>
      </w:r>
      <w:r w:rsidR="007F35CA" w:rsidRPr="009E7F26">
        <w:rPr>
          <w:rFonts w:ascii="Verdana" w:hAnsi="Verdana"/>
          <w:b/>
          <w:bCs/>
          <w:sz w:val="24"/>
          <w:szCs w:val="24"/>
        </w:rPr>
        <w:t>upper earnings disregard limit to €450</w:t>
      </w:r>
      <w:r w:rsidR="00B92ECB">
        <w:rPr>
          <w:rFonts w:ascii="Verdana" w:hAnsi="Verdana"/>
          <w:sz w:val="24"/>
          <w:szCs w:val="24"/>
        </w:rPr>
        <w:t xml:space="preserve"> -</w:t>
      </w:r>
      <w:r w:rsidR="00AC244B">
        <w:rPr>
          <w:rFonts w:ascii="Verdana" w:hAnsi="Verdana"/>
          <w:sz w:val="24"/>
          <w:szCs w:val="24"/>
        </w:rPr>
        <w:t xml:space="preserve"> </w:t>
      </w:r>
      <w:r w:rsidR="00AC244B" w:rsidRPr="00AC244B">
        <w:rPr>
          <w:rFonts w:ascii="Verdana" w:hAnsi="Verdana"/>
          <w:sz w:val="24"/>
          <w:szCs w:val="24"/>
        </w:rPr>
        <w:t>in line with the Carer’s disregard</w:t>
      </w:r>
      <w:r w:rsidR="007F35CA" w:rsidRPr="00EE2246">
        <w:rPr>
          <w:rFonts w:ascii="Verdana" w:hAnsi="Verdana"/>
          <w:sz w:val="24"/>
          <w:szCs w:val="24"/>
        </w:rPr>
        <w:t>.</w:t>
      </w:r>
    </w:p>
    <w:p w14:paraId="20D8DD73" w14:textId="65E11E0C" w:rsidR="007F35CA" w:rsidRPr="00FF7BEC" w:rsidRDefault="007F35CA" w:rsidP="007F35CA">
      <w:pPr>
        <w:pStyle w:val="ListParagraph"/>
        <w:numPr>
          <w:ilvl w:val="0"/>
          <w:numId w:val="11"/>
        </w:numPr>
        <w:rPr>
          <w:rFonts w:ascii="Verdana" w:hAnsi="Verdana"/>
          <w:sz w:val="24"/>
          <w:szCs w:val="24"/>
          <w:lang w:val="en-GB"/>
        </w:rPr>
      </w:pPr>
      <w:r w:rsidRPr="00FF7BEC">
        <w:rPr>
          <w:rFonts w:ascii="Verdana" w:hAnsi="Verdana"/>
          <w:sz w:val="24"/>
          <w:szCs w:val="24"/>
          <w:lang w:val="en-GB"/>
        </w:rPr>
        <w:t xml:space="preserve">Roll out the new </w:t>
      </w:r>
      <w:r w:rsidRPr="00FF7BEC">
        <w:rPr>
          <w:rFonts w:ascii="Verdana" w:hAnsi="Verdana"/>
          <w:b/>
          <w:bCs/>
          <w:sz w:val="24"/>
          <w:szCs w:val="24"/>
          <w:lang w:val="en-GB"/>
        </w:rPr>
        <w:t>Reasonable Accommodation Fund</w:t>
      </w:r>
      <w:r w:rsidR="00710C5D" w:rsidRPr="00FF7BEC">
        <w:rPr>
          <w:rFonts w:ascii="Verdana" w:hAnsi="Verdana"/>
          <w:b/>
          <w:bCs/>
          <w:sz w:val="24"/>
          <w:szCs w:val="24"/>
          <w:lang w:val="en-GB"/>
        </w:rPr>
        <w:t xml:space="preserve"> (RAF)</w:t>
      </w:r>
      <w:r w:rsidRPr="00FF7BEC">
        <w:rPr>
          <w:rFonts w:ascii="Verdana" w:hAnsi="Verdana"/>
          <w:sz w:val="24"/>
          <w:szCs w:val="24"/>
          <w:lang w:val="en-GB"/>
        </w:rPr>
        <w:t xml:space="preserve"> and provide sufficient funding for its operation in 2025. Report on its usage, impact and funding drawdown annually. </w:t>
      </w:r>
      <w:r w:rsidR="00710C5D" w:rsidRPr="00FF7BEC">
        <w:rPr>
          <w:rFonts w:ascii="Verdana" w:hAnsi="Verdana"/>
          <w:b/>
          <w:bCs/>
          <w:sz w:val="24"/>
          <w:szCs w:val="24"/>
          <w:lang w:val="en-GB"/>
        </w:rPr>
        <w:t>The RAF</w:t>
      </w:r>
      <w:r w:rsidR="00AD6F71" w:rsidRPr="00FF7BEC">
        <w:rPr>
          <w:rFonts w:ascii="Verdana" w:hAnsi="Verdana"/>
          <w:b/>
          <w:bCs/>
          <w:sz w:val="24"/>
          <w:szCs w:val="24"/>
          <w:lang w:val="en-GB"/>
        </w:rPr>
        <w:t xml:space="preserve"> can only be demand-led if it is effectively and efficiently rolled out.</w:t>
      </w:r>
      <w:r w:rsidR="00AD6F71" w:rsidRPr="00FF7BEC">
        <w:rPr>
          <w:rFonts w:ascii="Verdana" w:hAnsi="Verdana"/>
          <w:sz w:val="24"/>
          <w:szCs w:val="24"/>
          <w:lang w:val="en-GB"/>
        </w:rPr>
        <w:t xml:space="preserve"> </w:t>
      </w:r>
      <w:r w:rsidRPr="00FF7BEC">
        <w:rPr>
          <w:rFonts w:ascii="Verdana" w:hAnsi="Verdana"/>
          <w:sz w:val="24"/>
          <w:szCs w:val="24"/>
          <w:lang w:val="en-GB"/>
        </w:rPr>
        <w:t xml:space="preserve"> </w:t>
      </w:r>
    </w:p>
    <w:p w14:paraId="7FD18135" w14:textId="79931B80" w:rsidR="00C60B38" w:rsidRPr="00C60B38" w:rsidRDefault="00C60B38" w:rsidP="00C60B38">
      <w:pPr>
        <w:pStyle w:val="ListParagraph"/>
        <w:numPr>
          <w:ilvl w:val="0"/>
          <w:numId w:val="11"/>
        </w:numPr>
        <w:rPr>
          <w:rFonts w:ascii="Verdana" w:hAnsi="Verdana"/>
          <w:sz w:val="24"/>
          <w:szCs w:val="24"/>
          <w:lang w:val="en-GB"/>
        </w:rPr>
      </w:pPr>
      <w:r>
        <w:rPr>
          <w:rFonts w:ascii="Verdana" w:hAnsi="Verdana"/>
          <w:sz w:val="24"/>
          <w:szCs w:val="24"/>
          <w:lang w:val="en-GB"/>
        </w:rPr>
        <w:t xml:space="preserve">Change </w:t>
      </w:r>
      <w:r w:rsidRPr="00E50AF6">
        <w:rPr>
          <w:rFonts w:ascii="Verdana" w:hAnsi="Verdana"/>
          <w:b/>
          <w:bCs/>
          <w:sz w:val="24"/>
          <w:szCs w:val="24"/>
          <w:lang w:val="en-GB"/>
        </w:rPr>
        <w:t>criteria for the medical card</w:t>
      </w:r>
      <w:r>
        <w:rPr>
          <w:rFonts w:ascii="Verdana" w:hAnsi="Verdana"/>
          <w:sz w:val="24"/>
          <w:szCs w:val="24"/>
          <w:lang w:val="en-GB"/>
        </w:rPr>
        <w:t xml:space="preserve"> and other entitlements </w:t>
      </w:r>
      <w:r w:rsidRPr="4806864A">
        <w:rPr>
          <w:rFonts w:ascii="Verdana" w:hAnsi="Verdana"/>
          <w:sz w:val="24"/>
          <w:szCs w:val="24"/>
          <w:lang w:val="en-GB"/>
        </w:rPr>
        <w:t xml:space="preserve">such as the </w:t>
      </w:r>
      <w:r w:rsidRPr="00E50AF6">
        <w:rPr>
          <w:rFonts w:ascii="Verdana" w:hAnsi="Verdana"/>
          <w:b/>
          <w:bCs/>
          <w:sz w:val="24"/>
          <w:szCs w:val="24"/>
          <w:lang w:val="en-GB"/>
        </w:rPr>
        <w:t>free travel scheme</w:t>
      </w:r>
      <w:r w:rsidRPr="4806864A">
        <w:rPr>
          <w:rFonts w:ascii="Verdana" w:hAnsi="Verdana"/>
          <w:sz w:val="24"/>
          <w:szCs w:val="24"/>
          <w:lang w:val="en-GB"/>
        </w:rPr>
        <w:t xml:space="preserve"> </w:t>
      </w:r>
      <w:r>
        <w:rPr>
          <w:rFonts w:ascii="Verdana" w:hAnsi="Verdana"/>
          <w:sz w:val="24"/>
          <w:szCs w:val="24"/>
          <w:lang w:val="en-GB"/>
        </w:rPr>
        <w:t xml:space="preserve">to </w:t>
      </w:r>
      <w:r w:rsidRPr="006E654F">
        <w:rPr>
          <w:rFonts w:ascii="Verdana" w:hAnsi="Verdana"/>
          <w:b/>
          <w:bCs/>
          <w:sz w:val="24"/>
          <w:szCs w:val="24"/>
          <w:lang w:val="en-GB"/>
        </w:rPr>
        <w:t xml:space="preserve">link them to medical need and </w:t>
      </w:r>
      <w:r w:rsidRPr="006E654F">
        <w:rPr>
          <w:rFonts w:ascii="Verdana" w:hAnsi="Verdana"/>
          <w:b/>
          <w:bCs/>
          <w:sz w:val="24"/>
          <w:szCs w:val="24"/>
          <w:lang w:val="en-GB"/>
        </w:rPr>
        <w:lastRenderedPageBreak/>
        <w:t>disability status</w:t>
      </w:r>
      <w:r>
        <w:rPr>
          <w:rFonts w:ascii="Verdana" w:hAnsi="Verdana"/>
          <w:sz w:val="24"/>
          <w:szCs w:val="24"/>
          <w:lang w:val="en-GB"/>
        </w:rPr>
        <w:t xml:space="preserve">, </w:t>
      </w:r>
      <w:r w:rsidRPr="5589D19A">
        <w:rPr>
          <w:rFonts w:ascii="Verdana" w:hAnsi="Verdana"/>
          <w:sz w:val="24"/>
          <w:szCs w:val="24"/>
          <w:lang w:val="en-GB"/>
        </w:rPr>
        <w:t>rather than means-testing</w:t>
      </w:r>
      <w:r>
        <w:rPr>
          <w:rFonts w:ascii="Verdana" w:hAnsi="Verdana"/>
          <w:sz w:val="24"/>
          <w:szCs w:val="24"/>
          <w:lang w:val="en-GB"/>
        </w:rPr>
        <w:t>.</w:t>
      </w:r>
      <w:r w:rsidRPr="002F1EF2">
        <w:rPr>
          <w:rFonts w:ascii="Verdana" w:hAnsi="Verdana"/>
          <w:sz w:val="24"/>
          <w:szCs w:val="24"/>
          <w:lang w:val="en-GB"/>
        </w:rPr>
        <w:t xml:space="preserve"> </w:t>
      </w:r>
      <w:r w:rsidR="002D271C">
        <w:rPr>
          <w:rFonts w:ascii="Verdana" w:hAnsi="Verdana"/>
          <w:sz w:val="24"/>
          <w:szCs w:val="24"/>
          <w:lang w:val="en-GB"/>
        </w:rPr>
        <w:t>Remove</w:t>
      </w:r>
      <w:r w:rsidR="00E50AF6">
        <w:rPr>
          <w:rFonts w:ascii="Verdana" w:hAnsi="Verdana"/>
          <w:sz w:val="24"/>
          <w:szCs w:val="24"/>
          <w:lang w:val="en-GB"/>
        </w:rPr>
        <w:t xml:space="preserve"> the</w:t>
      </w:r>
      <w:r w:rsidR="002D271C">
        <w:rPr>
          <w:rFonts w:ascii="Verdana" w:hAnsi="Verdana"/>
          <w:sz w:val="24"/>
          <w:szCs w:val="24"/>
          <w:lang w:val="en-GB"/>
        </w:rPr>
        <w:t xml:space="preserve"> </w:t>
      </w:r>
      <w:proofErr w:type="gramStart"/>
      <w:r w:rsidR="002D271C">
        <w:rPr>
          <w:rFonts w:ascii="Verdana" w:hAnsi="Verdana"/>
          <w:sz w:val="24"/>
          <w:szCs w:val="24"/>
          <w:lang w:val="en-GB"/>
        </w:rPr>
        <w:t>5 year</w:t>
      </w:r>
      <w:proofErr w:type="gramEnd"/>
      <w:r w:rsidR="003921B2">
        <w:rPr>
          <w:rFonts w:ascii="Verdana" w:hAnsi="Verdana"/>
          <w:sz w:val="24"/>
          <w:szCs w:val="24"/>
          <w:lang w:val="en-GB"/>
        </w:rPr>
        <w:t xml:space="preserve"> time limit</w:t>
      </w:r>
      <w:r w:rsidR="005A3659">
        <w:rPr>
          <w:rFonts w:ascii="Verdana" w:hAnsi="Verdana"/>
          <w:sz w:val="24"/>
          <w:szCs w:val="24"/>
          <w:lang w:val="en-GB"/>
        </w:rPr>
        <w:t xml:space="preserve"> on entitl</w:t>
      </w:r>
      <w:r w:rsidR="00D94F53">
        <w:rPr>
          <w:rFonts w:ascii="Verdana" w:hAnsi="Verdana"/>
          <w:sz w:val="24"/>
          <w:szCs w:val="24"/>
          <w:lang w:val="en-GB"/>
        </w:rPr>
        <w:t>e</w:t>
      </w:r>
      <w:r w:rsidR="005A3659">
        <w:rPr>
          <w:rFonts w:ascii="Verdana" w:hAnsi="Verdana"/>
          <w:sz w:val="24"/>
          <w:szCs w:val="24"/>
          <w:lang w:val="en-GB"/>
        </w:rPr>
        <w:t>ment</w:t>
      </w:r>
      <w:r w:rsidR="003921B2">
        <w:rPr>
          <w:rFonts w:ascii="Verdana" w:hAnsi="Verdana"/>
          <w:sz w:val="24"/>
          <w:szCs w:val="24"/>
          <w:lang w:val="en-GB"/>
        </w:rPr>
        <w:t xml:space="preserve"> for those who take up employment.</w:t>
      </w:r>
    </w:p>
    <w:p w14:paraId="6510856B" w14:textId="6326A083" w:rsidR="00663F78" w:rsidRDefault="002C3562" w:rsidP="000C0B2A">
      <w:pPr>
        <w:pStyle w:val="ListParagraph"/>
        <w:numPr>
          <w:ilvl w:val="0"/>
          <w:numId w:val="2"/>
        </w:numPr>
        <w:rPr>
          <w:rFonts w:ascii="Verdana" w:hAnsi="Verdana"/>
          <w:sz w:val="24"/>
          <w:szCs w:val="24"/>
        </w:rPr>
      </w:pPr>
      <w:r w:rsidRPr="002C3562">
        <w:rPr>
          <w:rFonts w:ascii="Verdana" w:hAnsi="Verdana"/>
          <w:sz w:val="24"/>
          <w:szCs w:val="24"/>
        </w:rPr>
        <w:t xml:space="preserve">Link the </w:t>
      </w:r>
      <w:r w:rsidRPr="00D37EBA">
        <w:rPr>
          <w:rFonts w:ascii="Verdana" w:hAnsi="Verdana"/>
          <w:b/>
          <w:bCs/>
          <w:sz w:val="24"/>
          <w:szCs w:val="24"/>
        </w:rPr>
        <w:t>Wage Subsidy Scheme (WSS) to increases in the National Minimum Wage</w:t>
      </w:r>
      <w:r>
        <w:rPr>
          <w:rFonts w:ascii="Verdana" w:hAnsi="Verdana"/>
          <w:sz w:val="24"/>
          <w:szCs w:val="24"/>
        </w:rPr>
        <w:t xml:space="preserve"> </w:t>
      </w:r>
      <w:r w:rsidRPr="002C3562">
        <w:rPr>
          <w:rFonts w:ascii="Verdana" w:hAnsi="Verdana"/>
          <w:sz w:val="24"/>
          <w:szCs w:val="24"/>
        </w:rPr>
        <w:t xml:space="preserve">and restore the WSS from the current low of 49% to 70% of the </w:t>
      </w:r>
      <w:r w:rsidR="00663F78">
        <w:rPr>
          <w:rFonts w:ascii="Verdana" w:hAnsi="Verdana"/>
          <w:sz w:val="24"/>
          <w:szCs w:val="24"/>
        </w:rPr>
        <w:t>minimum wage.</w:t>
      </w:r>
      <w:r w:rsidR="000C0B2A">
        <w:rPr>
          <w:rFonts w:ascii="Verdana" w:hAnsi="Verdana"/>
          <w:sz w:val="24"/>
          <w:szCs w:val="24"/>
        </w:rPr>
        <w:t xml:space="preserve"> M</w:t>
      </w:r>
      <w:r w:rsidR="000C0B2A" w:rsidRPr="00351B63">
        <w:rPr>
          <w:rFonts w:ascii="Verdana" w:hAnsi="Verdana"/>
          <w:sz w:val="24"/>
          <w:szCs w:val="24"/>
        </w:rPr>
        <w:t>ake provision to act on the recommendations of disability organisations to the WSS review.</w:t>
      </w:r>
    </w:p>
    <w:p w14:paraId="4A28D270" w14:textId="73C0C328" w:rsidR="004E5A28" w:rsidRPr="0026175C" w:rsidRDefault="004E5A28" w:rsidP="0026175C">
      <w:pPr>
        <w:pStyle w:val="ListParagraph"/>
        <w:numPr>
          <w:ilvl w:val="0"/>
          <w:numId w:val="2"/>
        </w:numPr>
        <w:rPr>
          <w:rFonts w:ascii="Verdana" w:hAnsi="Verdana"/>
          <w:sz w:val="24"/>
          <w:szCs w:val="24"/>
        </w:rPr>
      </w:pPr>
      <w:r w:rsidRPr="004E5A28">
        <w:rPr>
          <w:rFonts w:ascii="Verdana" w:hAnsi="Verdana"/>
          <w:sz w:val="24"/>
          <w:szCs w:val="24"/>
        </w:rPr>
        <w:t xml:space="preserve">Provide </w:t>
      </w:r>
      <w:r w:rsidRPr="00C32372">
        <w:rPr>
          <w:rFonts w:ascii="Verdana" w:hAnsi="Verdana"/>
          <w:b/>
          <w:bCs/>
          <w:sz w:val="24"/>
          <w:szCs w:val="24"/>
        </w:rPr>
        <w:t>sufficient funding to resource actions under the Employment pillar of the National Disability Strategy</w:t>
      </w:r>
      <w:r w:rsidR="0026175C">
        <w:rPr>
          <w:rFonts w:ascii="Verdana" w:hAnsi="Verdana"/>
          <w:sz w:val="24"/>
          <w:szCs w:val="24"/>
        </w:rPr>
        <w:t xml:space="preserve"> </w:t>
      </w:r>
      <w:r w:rsidRPr="004E5A28">
        <w:rPr>
          <w:rFonts w:ascii="Verdana" w:hAnsi="Verdana"/>
          <w:sz w:val="24"/>
          <w:szCs w:val="24"/>
        </w:rPr>
        <w:t>and develop actions to address the Cost of Disability and its impact on employment.</w:t>
      </w:r>
    </w:p>
    <w:p w14:paraId="4E4DB3B7" w14:textId="2976F937" w:rsidR="00A01BAE" w:rsidRPr="00A01BAE" w:rsidRDefault="00A01BAE" w:rsidP="00A01BAE">
      <w:pPr>
        <w:rPr>
          <w:rFonts w:ascii="Verdana" w:hAnsi="Verdana"/>
          <w:b/>
          <w:bCs/>
          <w:sz w:val="24"/>
          <w:szCs w:val="24"/>
        </w:rPr>
      </w:pPr>
      <w:r w:rsidRPr="00A01BAE">
        <w:rPr>
          <w:rFonts w:ascii="Verdana" w:hAnsi="Verdana"/>
          <w:b/>
          <w:bCs/>
          <w:sz w:val="24"/>
          <w:szCs w:val="24"/>
        </w:rPr>
        <w:t>Means Testing</w:t>
      </w:r>
    </w:p>
    <w:p w14:paraId="0C628013" w14:textId="3060DC2D" w:rsidR="00B866CB" w:rsidRPr="00ED2622" w:rsidRDefault="002D7589" w:rsidP="004A10D1">
      <w:pPr>
        <w:pStyle w:val="ListParagraph"/>
        <w:numPr>
          <w:ilvl w:val="0"/>
          <w:numId w:val="36"/>
        </w:numPr>
        <w:rPr>
          <w:rFonts w:ascii="Verdana" w:hAnsi="Verdana"/>
          <w:sz w:val="24"/>
          <w:szCs w:val="24"/>
          <w:lang w:val="en-GB"/>
        </w:rPr>
      </w:pPr>
      <w:r w:rsidRPr="00B866CB">
        <w:rPr>
          <w:rFonts w:ascii="Verdana" w:hAnsi="Verdana"/>
          <w:sz w:val="24"/>
          <w:szCs w:val="24"/>
        </w:rPr>
        <w:t xml:space="preserve">Increase the general </w:t>
      </w:r>
      <w:r w:rsidRPr="001D4774">
        <w:rPr>
          <w:rFonts w:ascii="Verdana" w:hAnsi="Verdana"/>
          <w:sz w:val="24"/>
          <w:szCs w:val="24"/>
        </w:rPr>
        <w:t xml:space="preserve">weekly </w:t>
      </w:r>
      <w:r w:rsidRPr="001C0764">
        <w:rPr>
          <w:rFonts w:ascii="Verdana" w:hAnsi="Verdana"/>
          <w:sz w:val="24"/>
          <w:szCs w:val="24"/>
        </w:rPr>
        <w:t>means disregard</w:t>
      </w:r>
      <w:r w:rsidR="00E463F9" w:rsidRPr="001D4774">
        <w:rPr>
          <w:rFonts w:ascii="Verdana" w:hAnsi="Verdana"/>
          <w:b/>
          <w:bCs/>
          <w:sz w:val="24"/>
          <w:szCs w:val="24"/>
        </w:rPr>
        <w:t xml:space="preserve"> from €7.</w:t>
      </w:r>
      <w:r w:rsidR="000A2110" w:rsidRPr="001D4774">
        <w:rPr>
          <w:rFonts w:ascii="Verdana" w:hAnsi="Verdana"/>
          <w:b/>
          <w:bCs/>
          <w:sz w:val="24"/>
          <w:szCs w:val="24"/>
        </w:rPr>
        <w:t>60</w:t>
      </w:r>
      <w:r w:rsidRPr="001D4774">
        <w:rPr>
          <w:rFonts w:ascii="Verdana" w:hAnsi="Verdana"/>
          <w:b/>
          <w:bCs/>
          <w:sz w:val="24"/>
          <w:szCs w:val="24"/>
        </w:rPr>
        <w:t xml:space="preserve"> to €</w:t>
      </w:r>
      <w:r w:rsidR="00B866CB" w:rsidRPr="001D4774">
        <w:rPr>
          <w:rFonts w:ascii="Verdana" w:hAnsi="Verdana"/>
          <w:b/>
          <w:bCs/>
          <w:sz w:val="24"/>
          <w:szCs w:val="24"/>
        </w:rPr>
        <w:t>2</w:t>
      </w:r>
      <w:r w:rsidR="000A2110" w:rsidRPr="001D4774">
        <w:rPr>
          <w:rFonts w:ascii="Verdana" w:hAnsi="Verdana"/>
          <w:b/>
          <w:bCs/>
          <w:sz w:val="24"/>
          <w:szCs w:val="24"/>
        </w:rPr>
        <w:t>0</w:t>
      </w:r>
      <w:r w:rsidR="00F6039C">
        <w:rPr>
          <w:rFonts w:ascii="Verdana" w:hAnsi="Verdana"/>
          <w:sz w:val="24"/>
          <w:szCs w:val="24"/>
        </w:rPr>
        <w:t>.</w:t>
      </w:r>
    </w:p>
    <w:p w14:paraId="76AD229B" w14:textId="4260B8AD" w:rsidR="00ED2622" w:rsidRPr="00ED2622" w:rsidRDefault="00ED2622" w:rsidP="00ED2622">
      <w:pPr>
        <w:pStyle w:val="ListParagraph"/>
        <w:numPr>
          <w:ilvl w:val="0"/>
          <w:numId w:val="36"/>
        </w:numPr>
        <w:rPr>
          <w:rFonts w:ascii="Verdana" w:hAnsi="Verdana"/>
          <w:sz w:val="24"/>
          <w:szCs w:val="24"/>
          <w:lang w:val="en-GB"/>
        </w:rPr>
      </w:pPr>
      <w:r w:rsidRPr="001C0764">
        <w:rPr>
          <w:rFonts w:ascii="Verdana" w:hAnsi="Verdana"/>
          <w:b/>
          <w:bCs/>
          <w:sz w:val="24"/>
          <w:szCs w:val="24"/>
          <w:lang w:val="en-GB"/>
        </w:rPr>
        <w:t>Only a disabled person’s income and means should be assessed</w:t>
      </w:r>
      <w:r w:rsidRPr="00B866CB">
        <w:rPr>
          <w:rFonts w:ascii="Verdana" w:hAnsi="Verdana"/>
          <w:sz w:val="24"/>
          <w:szCs w:val="24"/>
          <w:lang w:val="en-GB"/>
        </w:rPr>
        <w:t>, not their family member, partner or anyone else they live with.</w:t>
      </w:r>
    </w:p>
    <w:p w14:paraId="7A49382A" w14:textId="77777777" w:rsidR="002D7589" w:rsidRPr="00BD5522" w:rsidRDefault="002D7589" w:rsidP="002D7589">
      <w:pPr>
        <w:pStyle w:val="ListParagraph"/>
        <w:numPr>
          <w:ilvl w:val="0"/>
          <w:numId w:val="36"/>
        </w:numPr>
        <w:rPr>
          <w:rFonts w:ascii="Verdana" w:hAnsi="Verdana"/>
          <w:sz w:val="24"/>
          <w:szCs w:val="24"/>
        </w:rPr>
      </w:pPr>
      <w:r>
        <w:rPr>
          <w:rFonts w:ascii="Verdana" w:hAnsi="Verdana"/>
          <w:sz w:val="24"/>
          <w:szCs w:val="24"/>
        </w:rPr>
        <w:t>I</w:t>
      </w:r>
      <w:r w:rsidRPr="4806864A">
        <w:rPr>
          <w:rFonts w:ascii="Verdana" w:hAnsi="Verdana"/>
          <w:sz w:val="24"/>
          <w:szCs w:val="24"/>
        </w:rPr>
        <w:t xml:space="preserve">ncrease the Disability Allowance </w:t>
      </w:r>
      <w:r w:rsidRPr="001C0764">
        <w:rPr>
          <w:rFonts w:ascii="Verdana" w:hAnsi="Verdana"/>
          <w:b/>
          <w:bCs/>
          <w:sz w:val="24"/>
          <w:szCs w:val="24"/>
        </w:rPr>
        <w:t>capital disregard to €100,000</w:t>
      </w:r>
      <w:r>
        <w:rPr>
          <w:rFonts w:ascii="Verdana" w:hAnsi="Verdana"/>
          <w:sz w:val="24"/>
          <w:szCs w:val="24"/>
        </w:rPr>
        <w:t>.</w:t>
      </w:r>
      <w:r>
        <w:rPr>
          <w:rStyle w:val="FootnoteReference"/>
          <w:rFonts w:ascii="Verdana" w:hAnsi="Verdana"/>
          <w:sz w:val="24"/>
          <w:szCs w:val="24"/>
        </w:rPr>
        <w:footnoteReference w:id="3"/>
      </w:r>
    </w:p>
    <w:p w14:paraId="652A10C6" w14:textId="77777777" w:rsidR="00C82EAD" w:rsidRPr="00372B95" w:rsidRDefault="00C82EAD" w:rsidP="00C82EAD">
      <w:pPr>
        <w:rPr>
          <w:rFonts w:ascii="Verdana" w:hAnsi="Verdana"/>
          <w:b/>
          <w:bCs/>
          <w:sz w:val="24"/>
          <w:szCs w:val="24"/>
        </w:rPr>
      </w:pPr>
      <w:r w:rsidRPr="00372B95">
        <w:rPr>
          <w:rFonts w:ascii="Verdana" w:hAnsi="Verdana"/>
          <w:b/>
          <w:bCs/>
          <w:sz w:val="24"/>
          <w:szCs w:val="24"/>
        </w:rPr>
        <w:t>Cost of Living</w:t>
      </w:r>
      <w:r>
        <w:rPr>
          <w:rFonts w:ascii="Verdana" w:hAnsi="Verdana"/>
          <w:b/>
          <w:bCs/>
          <w:sz w:val="24"/>
          <w:szCs w:val="24"/>
        </w:rPr>
        <w:t xml:space="preserve"> and Energy Poverty</w:t>
      </w:r>
      <w:r w:rsidRPr="00372B95">
        <w:rPr>
          <w:rFonts w:ascii="Verdana" w:hAnsi="Verdana"/>
          <w:b/>
          <w:bCs/>
          <w:sz w:val="24"/>
          <w:szCs w:val="24"/>
        </w:rPr>
        <w:t xml:space="preserve"> </w:t>
      </w:r>
    </w:p>
    <w:p w14:paraId="72F7E5D0" w14:textId="058E5487" w:rsidR="00210174" w:rsidRDefault="00C82EAD" w:rsidP="00C82EAD">
      <w:pPr>
        <w:pStyle w:val="ListParagraph"/>
        <w:numPr>
          <w:ilvl w:val="0"/>
          <w:numId w:val="11"/>
        </w:numPr>
        <w:spacing w:line="276" w:lineRule="auto"/>
        <w:rPr>
          <w:rFonts w:ascii="Verdana" w:hAnsi="Verdana"/>
          <w:sz w:val="24"/>
          <w:szCs w:val="24"/>
        </w:rPr>
      </w:pPr>
      <w:r w:rsidRPr="003720A2">
        <w:rPr>
          <w:rFonts w:ascii="Verdana" w:hAnsi="Verdana"/>
          <w:sz w:val="24"/>
          <w:szCs w:val="24"/>
        </w:rPr>
        <w:t xml:space="preserve">Continue to prioritise </w:t>
      </w:r>
      <w:r w:rsidRPr="00E41AFF">
        <w:rPr>
          <w:rFonts w:ascii="Verdana" w:hAnsi="Verdana"/>
          <w:b/>
          <w:bCs/>
          <w:sz w:val="24"/>
          <w:szCs w:val="24"/>
        </w:rPr>
        <w:t xml:space="preserve">targeted measures </w:t>
      </w:r>
      <w:r w:rsidRPr="003720A2">
        <w:rPr>
          <w:rFonts w:ascii="Verdana" w:hAnsi="Verdana"/>
          <w:sz w:val="24"/>
          <w:szCs w:val="24"/>
        </w:rPr>
        <w:t xml:space="preserve">to support disabled people with the </w:t>
      </w:r>
      <w:r w:rsidRPr="003720A2">
        <w:rPr>
          <w:rFonts w:ascii="Verdana" w:hAnsi="Verdana"/>
          <w:b/>
          <w:bCs/>
          <w:sz w:val="24"/>
          <w:szCs w:val="24"/>
        </w:rPr>
        <w:t>cost-of-living crisis</w:t>
      </w:r>
      <w:r w:rsidR="006A2F68">
        <w:rPr>
          <w:rFonts w:ascii="Verdana" w:hAnsi="Verdana"/>
          <w:sz w:val="24"/>
          <w:szCs w:val="24"/>
        </w:rPr>
        <w:t xml:space="preserve"> and</w:t>
      </w:r>
      <w:r w:rsidRPr="003720A2">
        <w:rPr>
          <w:rFonts w:ascii="Verdana" w:hAnsi="Verdana"/>
          <w:sz w:val="24"/>
          <w:szCs w:val="24"/>
        </w:rPr>
        <w:t xml:space="preserve"> </w:t>
      </w:r>
      <w:r w:rsidRPr="00E22F8C">
        <w:rPr>
          <w:rFonts w:ascii="Verdana" w:hAnsi="Verdana"/>
          <w:b/>
          <w:bCs/>
          <w:sz w:val="24"/>
          <w:szCs w:val="24"/>
        </w:rPr>
        <w:t>Energy Poverty</w:t>
      </w:r>
      <w:r w:rsidRPr="003720A2">
        <w:rPr>
          <w:rFonts w:ascii="Verdana" w:hAnsi="Verdana"/>
          <w:sz w:val="24"/>
          <w:szCs w:val="24"/>
        </w:rPr>
        <w:t>, particularly in Winter 202</w:t>
      </w:r>
      <w:r w:rsidR="00E12FB7">
        <w:rPr>
          <w:rFonts w:ascii="Verdana" w:hAnsi="Verdana"/>
          <w:sz w:val="24"/>
          <w:szCs w:val="24"/>
        </w:rPr>
        <w:t>4</w:t>
      </w:r>
      <w:r w:rsidRPr="003720A2">
        <w:rPr>
          <w:rFonts w:ascii="Verdana" w:hAnsi="Verdana"/>
          <w:sz w:val="24"/>
          <w:szCs w:val="24"/>
        </w:rPr>
        <w:t>.</w:t>
      </w:r>
      <w:r>
        <w:rPr>
          <w:rFonts w:ascii="Verdana" w:hAnsi="Verdana"/>
          <w:sz w:val="24"/>
          <w:szCs w:val="24"/>
        </w:rPr>
        <w:t xml:space="preserve"> </w:t>
      </w:r>
    </w:p>
    <w:p w14:paraId="36258D3F" w14:textId="75415E93" w:rsidR="00C82EAD" w:rsidRPr="000B2A9B" w:rsidRDefault="00C82EAD" w:rsidP="000B2A9B">
      <w:pPr>
        <w:pStyle w:val="ListParagraph"/>
        <w:numPr>
          <w:ilvl w:val="0"/>
          <w:numId w:val="11"/>
        </w:numPr>
        <w:spacing w:line="276" w:lineRule="auto"/>
        <w:rPr>
          <w:rFonts w:ascii="Verdana" w:hAnsi="Verdana"/>
          <w:sz w:val="24"/>
          <w:szCs w:val="24"/>
        </w:rPr>
      </w:pPr>
      <w:r>
        <w:rPr>
          <w:rFonts w:ascii="Verdana" w:hAnsi="Verdana"/>
          <w:sz w:val="24"/>
          <w:szCs w:val="24"/>
        </w:rPr>
        <w:t xml:space="preserve">Implement </w:t>
      </w:r>
      <w:r w:rsidR="000B2A9B" w:rsidRPr="00E41AFF">
        <w:rPr>
          <w:rFonts w:ascii="Verdana" w:hAnsi="Verdana"/>
          <w:b/>
          <w:bCs/>
          <w:sz w:val="24"/>
          <w:szCs w:val="24"/>
        </w:rPr>
        <w:t>DFI’s</w:t>
      </w:r>
      <w:r w:rsidRPr="00E41AFF">
        <w:rPr>
          <w:rFonts w:ascii="Verdana" w:hAnsi="Verdana"/>
          <w:b/>
          <w:bCs/>
          <w:sz w:val="24"/>
          <w:szCs w:val="24"/>
        </w:rPr>
        <w:t xml:space="preserve"> recommendations</w:t>
      </w:r>
      <w:r w:rsidR="000B2A9B" w:rsidRPr="00E41AFF">
        <w:rPr>
          <w:rFonts w:ascii="Verdana" w:hAnsi="Verdana"/>
          <w:b/>
          <w:bCs/>
          <w:sz w:val="24"/>
          <w:szCs w:val="24"/>
        </w:rPr>
        <w:t xml:space="preserve"> on Energy Poverty</w:t>
      </w:r>
      <w:r w:rsidRPr="000B2A9B">
        <w:rPr>
          <w:rFonts w:ascii="Verdana" w:hAnsi="Verdana"/>
          <w:i/>
          <w:iCs/>
          <w:sz w:val="24"/>
          <w:szCs w:val="24"/>
        </w:rPr>
        <w:t>.</w:t>
      </w:r>
      <w:r>
        <w:rPr>
          <w:rStyle w:val="FootnoteReference"/>
          <w:rFonts w:ascii="Verdana" w:hAnsi="Verdana"/>
          <w:sz w:val="24"/>
          <w:szCs w:val="24"/>
        </w:rPr>
        <w:footnoteReference w:id="4"/>
      </w:r>
      <w:r w:rsidRPr="000B2A9B">
        <w:rPr>
          <w:rFonts w:ascii="Verdana" w:hAnsi="Verdana"/>
          <w:sz w:val="24"/>
          <w:szCs w:val="24"/>
        </w:rPr>
        <w:t xml:space="preserve"> </w:t>
      </w:r>
    </w:p>
    <w:p w14:paraId="225692F3" w14:textId="77777777" w:rsidR="008C39DF" w:rsidRDefault="008C39DF" w:rsidP="008C39DF">
      <w:pPr>
        <w:pStyle w:val="ListParagraph"/>
        <w:numPr>
          <w:ilvl w:val="0"/>
          <w:numId w:val="11"/>
        </w:numPr>
        <w:rPr>
          <w:rFonts w:ascii="Verdana" w:hAnsi="Verdana"/>
          <w:sz w:val="24"/>
          <w:szCs w:val="24"/>
        </w:rPr>
      </w:pPr>
      <w:r>
        <w:rPr>
          <w:rFonts w:ascii="Verdana" w:hAnsi="Verdana"/>
          <w:sz w:val="24"/>
          <w:szCs w:val="24"/>
        </w:rPr>
        <w:t xml:space="preserve">Restore the </w:t>
      </w:r>
      <w:r w:rsidRPr="00A01BAE">
        <w:rPr>
          <w:rFonts w:ascii="Verdana" w:hAnsi="Verdana"/>
          <w:b/>
          <w:bCs/>
          <w:sz w:val="24"/>
          <w:szCs w:val="24"/>
        </w:rPr>
        <w:t>purchasing power of the Fuel Allowance</w:t>
      </w:r>
      <w:r>
        <w:rPr>
          <w:rFonts w:ascii="Verdana" w:hAnsi="Verdana"/>
          <w:sz w:val="24"/>
          <w:szCs w:val="24"/>
        </w:rPr>
        <w:t xml:space="preserve"> as per recommendations of SVP, MESL and other organisations.</w:t>
      </w:r>
    </w:p>
    <w:p w14:paraId="0AEC3B22" w14:textId="77777777" w:rsidR="006338F6" w:rsidRPr="004757A2" w:rsidRDefault="006338F6" w:rsidP="006338F6">
      <w:pPr>
        <w:rPr>
          <w:rFonts w:ascii="Verdana" w:hAnsi="Verdana"/>
          <w:b/>
          <w:bCs/>
          <w:sz w:val="24"/>
          <w:szCs w:val="24"/>
        </w:rPr>
      </w:pPr>
      <w:r w:rsidRPr="004757A2">
        <w:rPr>
          <w:rFonts w:ascii="Verdana" w:hAnsi="Verdana"/>
          <w:b/>
          <w:bCs/>
          <w:sz w:val="24"/>
          <w:szCs w:val="24"/>
        </w:rPr>
        <w:t>Disability Proofing</w:t>
      </w:r>
      <w:r>
        <w:rPr>
          <w:rFonts w:ascii="Verdana" w:hAnsi="Verdana"/>
          <w:b/>
          <w:bCs/>
          <w:sz w:val="24"/>
          <w:szCs w:val="24"/>
        </w:rPr>
        <w:t>,</w:t>
      </w:r>
      <w:r w:rsidRPr="004757A2">
        <w:rPr>
          <w:rFonts w:ascii="Verdana" w:hAnsi="Verdana"/>
          <w:b/>
          <w:bCs/>
          <w:sz w:val="24"/>
          <w:szCs w:val="24"/>
        </w:rPr>
        <w:t xml:space="preserve"> Benchmarking to MESL</w:t>
      </w:r>
      <w:r>
        <w:rPr>
          <w:rFonts w:ascii="Verdana" w:hAnsi="Verdana"/>
          <w:b/>
          <w:bCs/>
          <w:sz w:val="24"/>
          <w:szCs w:val="24"/>
        </w:rPr>
        <w:t xml:space="preserve"> and Indexation</w:t>
      </w:r>
    </w:p>
    <w:p w14:paraId="23A53330" w14:textId="5F6386F0" w:rsidR="006338F6" w:rsidRDefault="006338F6" w:rsidP="006338F6">
      <w:pPr>
        <w:pStyle w:val="ListParagraph"/>
        <w:numPr>
          <w:ilvl w:val="0"/>
          <w:numId w:val="36"/>
        </w:numPr>
        <w:rPr>
          <w:rFonts w:ascii="Verdana" w:hAnsi="Verdana"/>
          <w:sz w:val="24"/>
          <w:szCs w:val="24"/>
        </w:rPr>
      </w:pPr>
      <w:r w:rsidRPr="00C22DDF">
        <w:rPr>
          <w:rFonts w:ascii="Verdana" w:hAnsi="Verdana"/>
          <w:sz w:val="24"/>
          <w:szCs w:val="24"/>
        </w:rPr>
        <w:t>Ensure all budget decisions are subject to equality</w:t>
      </w:r>
      <w:r>
        <w:rPr>
          <w:rFonts w:ascii="Verdana" w:hAnsi="Verdana"/>
          <w:sz w:val="24"/>
          <w:szCs w:val="24"/>
        </w:rPr>
        <w:t>, gender and poverty</w:t>
      </w:r>
      <w:r w:rsidRPr="00C22DDF">
        <w:rPr>
          <w:rFonts w:ascii="Verdana" w:hAnsi="Verdana"/>
          <w:sz w:val="24"/>
          <w:szCs w:val="24"/>
        </w:rPr>
        <w:t xml:space="preserve"> proofing</w:t>
      </w:r>
      <w:r>
        <w:rPr>
          <w:rFonts w:ascii="Verdana" w:hAnsi="Verdana"/>
          <w:sz w:val="24"/>
          <w:szCs w:val="24"/>
        </w:rPr>
        <w:t xml:space="preserve">, specifically </w:t>
      </w:r>
      <w:r w:rsidRPr="00A51169">
        <w:rPr>
          <w:rFonts w:ascii="Verdana" w:hAnsi="Verdana"/>
          <w:b/>
          <w:bCs/>
          <w:sz w:val="24"/>
          <w:szCs w:val="24"/>
        </w:rPr>
        <w:t xml:space="preserve">assessing their impact on disabled people, including </w:t>
      </w:r>
      <w:proofErr w:type="gramStart"/>
      <w:r w:rsidRPr="00A51169">
        <w:rPr>
          <w:rFonts w:ascii="Verdana" w:hAnsi="Verdana"/>
          <w:b/>
          <w:bCs/>
          <w:sz w:val="24"/>
          <w:szCs w:val="24"/>
        </w:rPr>
        <w:t>taking into account</w:t>
      </w:r>
      <w:proofErr w:type="gramEnd"/>
      <w:r w:rsidRPr="00A51169">
        <w:rPr>
          <w:rFonts w:ascii="Verdana" w:hAnsi="Verdana"/>
          <w:b/>
          <w:bCs/>
          <w:sz w:val="24"/>
          <w:szCs w:val="24"/>
        </w:rPr>
        <w:t xml:space="preserve"> the Cost of Disability</w:t>
      </w:r>
      <w:r w:rsidRPr="00C22DDF">
        <w:rPr>
          <w:rFonts w:ascii="Verdana" w:hAnsi="Verdana"/>
          <w:sz w:val="24"/>
          <w:szCs w:val="24"/>
        </w:rPr>
        <w:t>.</w:t>
      </w:r>
      <w:r>
        <w:rPr>
          <w:rFonts w:ascii="Verdana" w:hAnsi="Verdana"/>
          <w:sz w:val="24"/>
          <w:szCs w:val="24"/>
        </w:rPr>
        <w:t xml:space="preserve"> </w:t>
      </w:r>
      <w:r w:rsidR="009943D5">
        <w:rPr>
          <w:rFonts w:ascii="Verdana" w:hAnsi="Verdana"/>
          <w:sz w:val="24"/>
          <w:szCs w:val="24"/>
        </w:rPr>
        <w:t>Budget 2025 must</w:t>
      </w:r>
      <w:r w:rsidR="006B3E85">
        <w:rPr>
          <w:rFonts w:ascii="Verdana" w:hAnsi="Verdana"/>
          <w:sz w:val="24"/>
          <w:szCs w:val="24"/>
        </w:rPr>
        <w:t xml:space="preserve"> </w:t>
      </w:r>
      <w:r w:rsidR="008A601C">
        <w:rPr>
          <w:rFonts w:ascii="Verdana" w:hAnsi="Verdana"/>
          <w:sz w:val="24"/>
          <w:szCs w:val="24"/>
        </w:rPr>
        <w:t>be rigorously disability-</w:t>
      </w:r>
      <w:proofErr w:type="gramStart"/>
      <w:r w:rsidR="008A601C">
        <w:rPr>
          <w:rFonts w:ascii="Verdana" w:hAnsi="Verdana"/>
          <w:sz w:val="24"/>
          <w:szCs w:val="24"/>
        </w:rPr>
        <w:t xml:space="preserve">proofed, </w:t>
      </w:r>
      <w:r w:rsidR="006B69A0">
        <w:rPr>
          <w:rFonts w:ascii="Verdana" w:hAnsi="Verdana"/>
          <w:sz w:val="24"/>
          <w:szCs w:val="24"/>
        </w:rPr>
        <w:t>and</w:t>
      </w:r>
      <w:proofErr w:type="gramEnd"/>
      <w:r w:rsidR="006B69A0">
        <w:rPr>
          <w:rFonts w:ascii="Verdana" w:hAnsi="Verdana"/>
          <w:sz w:val="24"/>
          <w:szCs w:val="24"/>
        </w:rPr>
        <w:t xml:space="preserve"> </w:t>
      </w:r>
      <w:r w:rsidR="006B69A0" w:rsidRPr="001E35FC">
        <w:rPr>
          <w:rFonts w:ascii="Verdana" w:hAnsi="Verdana"/>
          <w:b/>
          <w:bCs/>
          <w:sz w:val="24"/>
          <w:szCs w:val="24"/>
        </w:rPr>
        <w:t xml:space="preserve">show a </w:t>
      </w:r>
      <w:r w:rsidR="006B3E85" w:rsidRPr="001E35FC">
        <w:rPr>
          <w:rFonts w:ascii="Verdana" w:hAnsi="Verdana"/>
          <w:b/>
          <w:bCs/>
          <w:sz w:val="24"/>
          <w:szCs w:val="24"/>
        </w:rPr>
        <w:t>clear</w:t>
      </w:r>
      <w:r w:rsidR="009943D5" w:rsidRPr="001E35FC">
        <w:rPr>
          <w:rFonts w:ascii="Verdana" w:hAnsi="Verdana"/>
          <w:b/>
          <w:bCs/>
          <w:sz w:val="24"/>
          <w:szCs w:val="24"/>
        </w:rPr>
        <w:t xml:space="preserve"> </w:t>
      </w:r>
      <w:r w:rsidR="00AB1EDB" w:rsidRPr="001E35FC">
        <w:rPr>
          <w:rFonts w:ascii="Verdana" w:hAnsi="Verdana"/>
          <w:b/>
          <w:bCs/>
          <w:sz w:val="24"/>
          <w:szCs w:val="24"/>
        </w:rPr>
        <w:t xml:space="preserve">and </w:t>
      </w:r>
      <w:r w:rsidR="009943D5" w:rsidRPr="001E35FC">
        <w:rPr>
          <w:rFonts w:ascii="Verdana" w:hAnsi="Verdana"/>
          <w:b/>
          <w:bCs/>
          <w:sz w:val="24"/>
          <w:szCs w:val="24"/>
        </w:rPr>
        <w:t>perm</w:t>
      </w:r>
      <w:r w:rsidR="00110E06" w:rsidRPr="001E35FC">
        <w:rPr>
          <w:rFonts w:ascii="Verdana" w:hAnsi="Verdana"/>
          <w:b/>
          <w:bCs/>
          <w:sz w:val="24"/>
          <w:szCs w:val="24"/>
        </w:rPr>
        <w:t>anent positive impact on disability poverty</w:t>
      </w:r>
      <w:r>
        <w:rPr>
          <w:rFonts w:ascii="Verdana" w:hAnsi="Verdana"/>
          <w:sz w:val="24"/>
          <w:szCs w:val="24"/>
        </w:rPr>
        <w:t xml:space="preserve">. </w:t>
      </w:r>
    </w:p>
    <w:p w14:paraId="46656C19" w14:textId="3BB06983" w:rsidR="00DF5682" w:rsidRPr="000B6D8D" w:rsidRDefault="006338F6" w:rsidP="0020507C">
      <w:pPr>
        <w:pStyle w:val="ListParagraph"/>
        <w:numPr>
          <w:ilvl w:val="0"/>
          <w:numId w:val="36"/>
        </w:numPr>
        <w:rPr>
          <w:rFonts w:ascii="Verdana" w:hAnsi="Verdana"/>
          <w:sz w:val="24"/>
          <w:szCs w:val="24"/>
          <w:lang w:val="en-GB"/>
        </w:rPr>
      </w:pPr>
      <w:r w:rsidRPr="002A462E">
        <w:rPr>
          <w:rFonts w:ascii="Verdana" w:hAnsi="Verdana"/>
          <w:sz w:val="24"/>
          <w:szCs w:val="24"/>
        </w:rPr>
        <w:t xml:space="preserve">Social welfare rates must be </w:t>
      </w:r>
      <w:r>
        <w:rPr>
          <w:rFonts w:ascii="Verdana" w:hAnsi="Verdana"/>
          <w:sz w:val="24"/>
          <w:szCs w:val="24"/>
        </w:rPr>
        <w:t xml:space="preserve">indexed or </w:t>
      </w:r>
      <w:r w:rsidRPr="00D02A1D">
        <w:rPr>
          <w:rFonts w:ascii="Verdana" w:hAnsi="Verdana"/>
          <w:b/>
          <w:bCs/>
          <w:sz w:val="24"/>
          <w:szCs w:val="24"/>
        </w:rPr>
        <w:t>benchmarked</w:t>
      </w:r>
      <w:r>
        <w:rPr>
          <w:rFonts w:ascii="Verdana" w:hAnsi="Verdana"/>
          <w:b/>
          <w:bCs/>
          <w:sz w:val="24"/>
          <w:szCs w:val="24"/>
        </w:rPr>
        <w:t xml:space="preserve"> on an annual basis,</w:t>
      </w:r>
      <w:r w:rsidRPr="00D02A1D">
        <w:rPr>
          <w:rFonts w:ascii="Verdana" w:hAnsi="Verdana"/>
          <w:b/>
          <w:bCs/>
          <w:sz w:val="24"/>
          <w:szCs w:val="24"/>
        </w:rPr>
        <w:t xml:space="preserve"> to a level above the poverty line </w:t>
      </w:r>
      <w:r w:rsidRPr="00A01B84">
        <w:rPr>
          <w:rFonts w:ascii="Verdana" w:hAnsi="Verdana"/>
          <w:sz w:val="24"/>
          <w:szCs w:val="24"/>
        </w:rPr>
        <w:t>and considering inflation</w:t>
      </w:r>
      <w:r w:rsidRPr="002A462E">
        <w:rPr>
          <w:rFonts w:ascii="Verdana" w:hAnsi="Verdana"/>
          <w:sz w:val="24"/>
          <w:szCs w:val="24"/>
        </w:rPr>
        <w:t xml:space="preserve">, while </w:t>
      </w:r>
      <w:r w:rsidRPr="00A01B84">
        <w:rPr>
          <w:rFonts w:ascii="Verdana" w:hAnsi="Verdana"/>
          <w:b/>
          <w:bCs/>
          <w:sz w:val="24"/>
          <w:szCs w:val="24"/>
        </w:rPr>
        <w:t>taking the Cost of Disability into account</w:t>
      </w:r>
      <w:r w:rsidRPr="002A462E">
        <w:rPr>
          <w:rFonts w:ascii="Verdana" w:hAnsi="Verdana"/>
          <w:sz w:val="24"/>
          <w:szCs w:val="24"/>
        </w:rPr>
        <w:t xml:space="preserve">. Use the </w:t>
      </w:r>
      <w:r w:rsidRPr="00D02A1D">
        <w:rPr>
          <w:rFonts w:ascii="Verdana" w:hAnsi="Verdana"/>
          <w:b/>
          <w:bCs/>
          <w:sz w:val="24"/>
          <w:szCs w:val="24"/>
          <w:lang w:val="en-GB"/>
        </w:rPr>
        <w:t>Minimum Essential Standard of Living (MESL)</w:t>
      </w:r>
      <w:r w:rsidRPr="00CC556E">
        <w:rPr>
          <w:rFonts w:ascii="Verdana" w:hAnsi="Verdana"/>
          <w:sz w:val="24"/>
          <w:szCs w:val="24"/>
          <w:lang w:val="en-GB"/>
        </w:rPr>
        <w:t xml:space="preserve"> </w:t>
      </w:r>
      <w:r w:rsidRPr="002A462E">
        <w:rPr>
          <w:rFonts w:ascii="Verdana" w:hAnsi="Verdana"/>
          <w:sz w:val="24"/>
          <w:szCs w:val="24"/>
          <w:lang w:val="en-GB"/>
        </w:rPr>
        <w:t xml:space="preserve">recommendations as a guide. </w:t>
      </w:r>
    </w:p>
    <w:p w14:paraId="65C2E628" w14:textId="000E79DB" w:rsidR="00FC2AEE" w:rsidRDefault="00863541" w:rsidP="0020507C">
      <w:pPr>
        <w:rPr>
          <w:rFonts w:ascii="Verdana" w:hAnsi="Verdana"/>
          <w:b/>
          <w:bCs/>
          <w:sz w:val="24"/>
          <w:szCs w:val="24"/>
          <w:lang w:val="en-GB"/>
        </w:rPr>
      </w:pPr>
      <w:r>
        <w:rPr>
          <w:rFonts w:ascii="Verdana" w:hAnsi="Verdana"/>
          <w:b/>
          <w:bCs/>
          <w:sz w:val="24"/>
          <w:szCs w:val="24"/>
          <w:lang w:val="en-GB"/>
        </w:rPr>
        <w:t xml:space="preserve">Strategy and </w:t>
      </w:r>
      <w:r w:rsidR="00815824">
        <w:rPr>
          <w:rFonts w:ascii="Verdana" w:hAnsi="Verdana"/>
          <w:b/>
          <w:bCs/>
          <w:sz w:val="24"/>
          <w:szCs w:val="24"/>
          <w:lang w:val="en-GB"/>
        </w:rPr>
        <w:t>A</w:t>
      </w:r>
      <w:r w:rsidR="006850C1">
        <w:rPr>
          <w:rFonts w:ascii="Verdana" w:hAnsi="Verdana"/>
          <w:b/>
          <w:bCs/>
          <w:sz w:val="24"/>
          <w:szCs w:val="24"/>
          <w:lang w:val="en-GB"/>
        </w:rPr>
        <w:t>ction</w:t>
      </w:r>
      <w:r w:rsidR="00797DBD">
        <w:rPr>
          <w:rFonts w:ascii="Verdana" w:hAnsi="Verdana"/>
          <w:b/>
          <w:bCs/>
          <w:sz w:val="24"/>
          <w:szCs w:val="24"/>
          <w:lang w:val="en-GB"/>
        </w:rPr>
        <w:t>-</w:t>
      </w:r>
      <w:r w:rsidR="00B65309">
        <w:rPr>
          <w:rFonts w:ascii="Verdana" w:hAnsi="Verdana"/>
          <w:b/>
          <w:bCs/>
          <w:sz w:val="24"/>
          <w:szCs w:val="24"/>
          <w:lang w:val="en-GB"/>
        </w:rPr>
        <w:t>O</w:t>
      </w:r>
      <w:r w:rsidR="00337983">
        <w:rPr>
          <w:rFonts w:ascii="Verdana" w:hAnsi="Verdana"/>
          <w:b/>
          <w:bCs/>
          <w:sz w:val="24"/>
          <w:szCs w:val="24"/>
          <w:lang w:val="en-GB"/>
        </w:rPr>
        <w:t xml:space="preserve">riented </w:t>
      </w:r>
      <w:r w:rsidR="00B65309">
        <w:rPr>
          <w:rFonts w:ascii="Verdana" w:hAnsi="Verdana"/>
          <w:b/>
          <w:bCs/>
          <w:sz w:val="24"/>
          <w:szCs w:val="24"/>
          <w:lang w:val="en-GB"/>
        </w:rPr>
        <w:t>A</w:t>
      </w:r>
      <w:r w:rsidR="00337983">
        <w:rPr>
          <w:rFonts w:ascii="Verdana" w:hAnsi="Verdana"/>
          <w:b/>
          <w:bCs/>
          <w:sz w:val="24"/>
          <w:szCs w:val="24"/>
          <w:lang w:val="en-GB"/>
        </w:rPr>
        <w:t xml:space="preserve">pproach </w:t>
      </w:r>
      <w:r w:rsidR="00B65309">
        <w:rPr>
          <w:rFonts w:ascii="Verdana" w:hAnsi="Verdana"/>
          <w:b/>
          <w:bCs/>
          <w:sz w:val="24"/>
          <w:szCs w:val="24"/>
          <w:lang w:val="en-GB"/>
        </w:rPr>
        <w:t>N</w:t>
      </w:r>
      <w:r w:rsidR="00337983">
        <w:rPr>
          <w:rFonts w:ascii="Verdana" w:hAnsi="Verdana"/>
          <w:b/>
          <w:bCs/>
          <w:sz w:val="24"/>
          <w:szCs w:val="24"/>
          <w:lang w:val="en-GB"/>
        </w:rPr>
        <w:t>eeded</w:t>
      </w:r>
    </w:p>
    <w:p w14:paraId="7051697B" w14:textId="114C351A" w:rsidR="00D65524" w:rsidRDefault="00337983" w:rsidP="00D65524">
      <w:pPr>
        <w:spacing w:line="276" w:lineRule="auto"/>
        <w:rPr>
          <w:rFonts w:ascii="Verdana" w:hAnsi="Verdana"/>
          <w:sz w:val="24"/>
          <w:szCs w:val="24"/>
        </w:rPr>
      </w:pPr>
      <w:r w:rsidRPr="00107DC6">
        <w:rPr>
          <w:rFonts w:ascii="Verdana" w:hAnsi="Verdana"/>
          <w:sz w:val="24"/>
          <w:szCs w:val="24"/>
        </w:rPr>
        <w:t>To underpin the asks above, and to make progress</w:t>
      </w:r>
      <w:r w:rsidR="00796CF1" w:rsidRPr="00107DC6">
        <w:rPr>
          <w:rFonts w:ascii="Verdana" w:hAnsi="Verdana"/>
          <w:sz w:val="24"/>
          <w:szCs w:val="24"/>
        </w:rPr>
        <w:t xml:space="preserve"> on </w:t>
      </w:r>
      <w:r w:rsidR="00D503DB" w:rsidRPr="00107DC6">
        <w:rPr>
          <w:rFonts w:ascii="Verdana" w:hAnsi="Verdana"/>
          <w:sz w:val="24"/>
          <w:szCs w:val="24"/>
        </w:rPr>
        <w:t>Roadmap for Social Inclusion commitments</w:t>
      </w:r>
      <w:r w:rsidR="00F55E68" w:rsidRPr="00107DC6">
        <w:rPr>
          <w:rFonts w:ascii="Verdana" w:hAnsi="Verdana"/>
          <w:sz w:val="24"/>
          <w:szCs w:val="24"/>
        </w:rPr>
        <w:t xml:space="preserve"> </w:t>
      </w:r>
      <w:r w:rsidR="008C4634" w:rsidRPr="00107DC6">
        <w:rPr>
          <w:rFonts w:ascii="Verdana" w:hAnsi="Verdana"/>
          <w:sz w:val="24"/>
          <w:szCs w:val="24"/>
        </w:rPr>
        <w:t>to</w:t>
      </w:r>
      <w:r w:rsidR="00F55E68" w:rsidRPr="00107DC6">
        <w:rPr>
          <w:rFonts w:ascii="Verdana" w:hAnsi="Verdana"/>
          <w:sz w:val="24"/>
          <w:szCs w:val="24"/>
        </w:rPr>
        <w:t xml:space="preserve"> tack</w:t>
      </w:r>
      <w:r w:rsidR="008C4634" w:rsidRPr="00107DC6">
        <w:rPr>
          <w:rFonts w:ascii="Verdana" w:hAnsi="Verdana"/>
          <w:sz w:val="24"/>
          <w:szCs w:val="24"/>
        </w:rPr>
        <w:t>le</w:t>
      </w:r>
      <w:r w:rsidR="00F55E68" w:rsidRPr="00107DC6">
        <w:rPr>
          <w:rFonts w:ascii="Verdana" w:hAnsi="Verdana"/>
          <w:sz w:val="24"/>
          <w:szCs w:val="24"/>
        </w:rPr>
        <w:t xml:space="preserve"> disproportionately high</w:t>
      </w:r>
      <w:r w:rsidR="00A809F1" w:rsidRPr="00107DC6">
        <w:rPr>
          <w:rFonts w:ascii="Verdana" w:hAnsi="Verdana"/>
          <w:sz w:val="24"/>
          <w:szCs w:val="24"/>
        </w:rPr>
        <w:t xml:space="preserve"> disability</w:t>
      </w:r>
      <w:r w:rsidR="00F55E68" w:rsidRPr="00107DC6">
        <w:rPr>
          <w:rFonts w:ascii="Verdana" w:hAnsi="Verdana"/>
          <w:sz w:val="24"/>
          <w:szCs w:val="24"/>
        </w:rPr>
        <w:t xml:space="preserve"> </w:t>
      </w:r>
      <w:r w:rsidR="00F55E68" w:rsidRPr="00107DC6">
        <w:rPr>
          <w:rFonts w:ascii="Verdana" w:hAnsi="Verdana"/>
          <w:sz w:val="24"/>
          <w:szCs w:val="24"/>
        </w:rPr>
        <w:lastRenderedPageBreak/>
        <w:t>poverty</w:t>
      </w:r>
      <w:r w:rsidR="00A809F1" w:rsidRPr="00107DC6">
        <w:rPr>
          <w:rFonts w:ascii="Verdana" w:hAnsi="Verdana"/>
          <w:sz w:val="24"/>
          <w:szCs w:val="24"/>
        </w:rPr>
        <w:t>, the Department should d</w:t>
      </w:r>
      <w:r w:rsidR="002B62F7" w:rsidRPr="00107DC6">
        <w:rPr>
          <w:rFonts w:ascii="Verdana" w:hAnsi="Verdana"/>
          <w:sz w:val="24"/>
          <w:szCs w:val="24"/>
        </w:rPr>
        <w:t xml:space="preserve">evelop </w:t>
      </w:r>
      <w:r w:rsidR="002B62F7" w:rsidRPr="00107DC6">
        <w:rPr>
          <w:rFonts w:ascii="Verdana" w:hAnsi="Verdana"/>
          <w:b/>
          <w:bCs/>
          <w:sz w:val="24"/>
          <w:szCs w:val="24"/>
        </w:rPr>
        <w:t>a specific poverty reduction strategy</w:t>
      </w:r>
      <w:r w:rsidR="002B62F7" w:rsidRPr="00107DC6">
        <w:rPr>
          <w:rFonts w:ascii="Verdana" w:hAnsi="Verdana"/>
          <w:sz w:val="24"/>
          <w:szCs w:val="24"/>
        </w:rPr>
        <w:t xml:space="preserve"> for disabled people</w:t>
      </w:r>
      <w:r w:rsidR="00A809F1" w:rsidRPr="00107DC6">
        <w:rPr>
          <w:rFonts w:ascii="Verdana" w:hAnsi="Verdana"/>
          <w:sz w:val="24"/>
          <w:szCs w:val="24"/>
        </w:rPr>
        <w:t>. This should</w:t>
      </w:r>
      <w:r w:rsidR="002B62F7" w:rsidRPr="00107DC6">
        <w:rPr>
          <w:rFonts w:ascii="Verdana" w:hAnsi="Verdana"/>
          <w:sz w:val="24"/>
          <w:szCs w:val="24"/>
        </w:rPr>
        <w:t xml:space="preserve"> </w:t>
      </w:r>
      <w:r w:rsidR="00A809F1" w:rsidRPr="00107DC6">
        <w:rPr>
          <w:rFonts w:ascii="Verdana" w:hAnsi="Verdana"/>
          <w:sz w:val="24"/>
          <w:szCs w:val="24"/>
        </w:rPr>
        <w:t>l</w:t>
      </w:r>
      <w:r w:rsidR="002B62F7" w:rsidRPr="00107DC6">
        <w:rPr>
          <w:rFonts w:ascii="Verdana" w:hAnsi="Verdana"/>
          <w:sz w:val="24"/>
          <w:szCs w:val="24"/>
        </w:rPr>
        <w:t xml:space="preserve">ay out the steps and actions to be taken to deliver the poverty reduction </w:t>
      </w:r>
      <w:proofErr w:type="gramStart"/>
      <w:r w:rsidR="002B62F7" w:rsidRPr="00107DC6">
        <w:rPr>
          <w:rFonts w:ascii="Verdana" w:hAnsi="Verdana"/>
          <w:sz w:val="24"/>
          <w:szCs w:val="24"/>
        </w:rPr>
        <w:t>targets, and</w:t>
      </w:r>
      <w:proofErr w:type="gramEnd"/>
      <w:r w:rsidR="002B62F7" w:rsidRPr="00107DC6">
        <w:rPr>
          <w:rFonts w:ascii="Verdana" w:hAnsi="Verdana"/>
          <w:sz w:val="24"/>
          <w:szCs w:val="24"/>
        </w:rPr>
        <w:t xml:space="preserve"> allocate sufficient funding for 2025 to deliver them.</w:t>
      </w:r>
      <w:r w:rsidR="000A78EE" w:rsidRPr="00107DC6">
        <w:rPr>
          <w:rFonts w:ascii="Verdana" w:hAnsi="Verdana"/>
          <w:sz w:val="24"/>
          <w:szCs w:val="24"/>
        </w:rPr>
        <w:t xml:space="preserve"> Significant action is also required to address the extra Cost of Disability</w:t>
      </w:r>
      <w:r w:rsidR="00084A78" w:rsidRPr="00107DC6">
        <w:rPr>
          <w:rFonts w:ascii="Verdana" w:hAnsi="Verdana"/>
          <w:sz w:val="24"/>
          <w:szCs w:val="24"/>
        </w:rPr>
        <w:t>.</w:t>
      </w:r>
      <w:r w:rsidR="000A78EE" w:rsidRPr="00107DC6">
        <w:rPr>
          <w:rFonts w:ascii="Verdana" w:hAnsi="Verdana"/>
          <w:sz w:val="24"/>
          <w:szCs w:val="24"/>
        </w:rPr>
        <w:t xml:space="preserve"> </w:t>
      </w:r>
      <w:r w:rsidR="00084A78" w:rsidRPr="00107DC6">
        <w:rPr>
          <w:rFonts w:ascii="Verdana" w:hAnsi="Verdana"/>
          <w:sz w:val="24"/>
          <w:szCs w:val="24"/>
        </w:rPr>
        <w:t>T</w:t>
      </w:r>
      <w:r w:rsidR="000A78EE" w:rsidRPr="00107DC6">
        <w:rPr>
          <w:rFonts w:ascii="Verdana" w:hAnsi="Verdana"/>
          <w:sz w:val="24"/>
          <w:szCs w:val="24"/>
        </w:rPr>
        <w:t>he Department should w</w:t>
      </w:r>
      <w:r w:rsidR="002B62F7" w:rsidRPr="00107DC6">
        <w:rPr>
          <w:rFonts w:ascii="Verdana" w:hAnsi="Verdana"/>
          <w:sz w:val="24"/>
          <w:szCs w:val="24"/>
        </w:rPr>
        <w:t>ork with other government Departments</w:t>
      </w:r>
      <w:r w:rsidR="000A78EE" w:rsidRPr="00107DC6">
        <w:rPr>
          <w:rFonts w:ascii="Verdana" w:hAnsi="Verdana"/>
          <w:sz w:val="24"/>
          <w:szCs w:val="24"/>
        </w:rPr>
        <w:t>, notably the Department of Children, Equality, Disability, Integration and Youth</w:t>
      </w:r>
      <w:r w:rsidR="00F034A9" w:rsidRPr="00107DC6">
        <w:rPr>
          <w:rFonts w:ascii="Verdana" w:hAnsi="Verdana"/>
          <w:sz w:val="24"/>
          <w:szCs w:val="24"/>
        </w:rPr>
        <w:t xml:space="preserve"> (DCEDIY)</w:t>
      </w:r>
      <w:r w:rsidR="000A78EE" w:rsidRPr="00107DC6">
        <w:rPr>
          <w:rFonts w:ascii="Verdana" w:hAnsi="Verdana"/>
          <w:sz w:val="24"/>
          <w:szCs w:val="24"/>
        </w:rPr>
        <w:t>,</w:t>
      </w:r>
      <w:r w:rsidR="002B62F7" w:rsidRPr="00107DC6">
        <w:rPr>
          <w:rFonts w:ascii="Verdana" w:hAnsi="Verdana"/>
          <w:sz w:val="24"/>
          <w:szCs w:val="24"/>
        </w:rPr>
        <w:t xml:space="preserve"> to </w:t>
      </w:r>
      <w:r w:rsidR="00694D69" w:rsidRPr="00107DC6">
        <w:rPr>
          <w:rFonts w:ascii="Verdana" w:hAnsi="Verdana"/>
          <w:sz w:val="24"/>
          <w:szCs w:val="24"/>
        </w:rPr>
        <w:t>develop</w:t>
      </w:r>
      <w:r w:rsidR="002B62F7" w:rsidRPr="00107DC6">
        <w:rPr>
          <w:rFonts w:ascii="Verdana" w:hAnsi="Verdana"/>
          <w:sz w:val="24"/>
          <w:szCs w:val="24"/>
        </w:rPr>
        <w:t xml:space="preserve"> and resource a clear </w:t>
      </w:r>
      <w:r w:rsidR="002B62F7" w:rsidRPr="00107DC6">
        <w:rPr>
          <w:rFonts w:ascii="Verdana" w:hAnsi="Verdana"/>
          <w:b/>
          <w:bCs/>
          <w:sz w:val="24"/>
          <w:szCs w:val="24"/>
        </w:rPr>
        <w:t>Action Plan to fully address the Cost of Disability</w:t>
      </w:r>
      <w:r w:rsidR="002B62F7" w:rsidRPr="00107DC6">
        <w:rPr>
          <w:rFonts w:ascii="Verdana" w:hAnsi="Verdana"/>
          <w:sz w:val="24"/>
          <w:szCs w:val="24"/>
        </w:rPr>
        <w:t xml:space="preserve"> over the next 3 years</w:t>
      </w:r>
      <w:r w:rsidR="00881B17" w:rsidRPr="00107DC6">
        <w:rPr>
          <w:rFonts w:ascii="Verdana" w:hAnsi="Verdana"/>
          <w:sz w:val="24"/>
          <w:szCs w:val="24"/>
        </w:rPr>
        <w:t xml:space="preserve"> – this can be integrated into the ongoing development of the new National Disability Strategy</w:t>
      </w:r>
      <w:r w:rsidR="002B62F7" w:rsidRPr="00107DC6">
        <w:rPr>
          <w:rFonts w:ascii="Verdana" w:hAnsi="Verdana"/>
          <w:sz w:val="24"/>
          <w:szCs w:val="24"/>
        </w:rPr>
        <w:t>.</w:t>
      </w:r>
    </w:p>
    <w:p w14:paraId="50618BB3" w14:textId="77777777" w:rsidR="00F9126E" w:rsidRDefault="00F9126E">
      <w:pPr>
        <w:rPr>
          <w:rFonts w:ascii="Verdana" w:hAnsi="Verdana"/>
          <w:sz w:val="24"/>
          <w:szCs w:val="24"/>
        </w:rPr>
      </w:pPr>
      <w:r>
        <w:rPr>
          <w:rFonts w:ascii="Verdana" w:hAnsi="Verdana"/>
          <w:sz w:val="24"/>
          <w:szCs w:val="24"/>
        </w:rPr>
        <w:br w:type="page"/>
      </w:r>
    </w:p>
    <w:p w14:paraId="33044A54" w14:textId="77777777" w:rsidR="00C9044E" w:rsidRDefault="00863CC9" w:rsidP="00C9044E">
      <w:pPr>
        <w:pStyle w:val="Heading1"/>
        <w:rPr>
          <w:sz w:val="24"/>
          <w:szCs w:val="24"/>
          <w:lang w:val="en-GB"/>
        </w:rPr>
      </w:pPr>
      <w:bookmarkStart w:id="1" w:name="_Toc171069193"/>
      <w:r>
        <w:rPr>
          <w:sz w:val="24"/>
          <w:szCs w:val="24"/>
          <w:lang w:val="en-GB"/>
        </w:rPr>
        <w:lastRenderedPageBreak/>
        <w:t>Introduction</w:t>
      </w:r>
      <w:bookmarkEnd w:id="1"/>
    </w:p>
    <w:p w14:paraId="4D5A30BC" w14:textId="374A2899" w:rsidR="004614FA" w:rsidRPr="001907FE" w:rsidRDefault="00FA064C" w:rsidP="00C9044E">
      <w:pPr>
        <w:pStyle w:val="Heading2"/>
        <w:rPr>
          <w:rFonts w:ascii="Verdana" w:hAnsi="Verdana"/>
          <w:sz w:val="24"/>
          <w:szCs w:val="24"/>
          <w:lang w:val="en-GB"/>
        </w:rPr>
      </w:pPr>
      <w:bookmarkStart w:id="2" w:name="_Toc171069194"/>
      <w:r w:rsidRPr="001907FE">
        <w:rPr>
          <w:rFonts w:ascii="Verdana" w:hAnsi="Verdana"/>
          <w:sz w:val="24"/>
          <w:szCs w:val="24"/>
          <w:lang w:val="en-GB"/>
        </w:rPr>
        <w:t>Up</w:t>
      </w:r>
      <w:r w:rsidR="003F30D2" w:rsidRPr="001907FE">
        <w:rPr>
          <w:rFonts w:ascii="Verdana" w:hAnsi="Verdana"/>
          <w:sz w:val="24"/>
          <w:szCs w:val="24"/>
          <w:lang w:val="en-GB"/>
        </w:rPr>
        <w:t>dating the Evidence</w:t>
      </w:r>
      <w:bookmarkEnd w:id="2"/>
    </w:p>
    <w:p w14:paraId="6AD02AA6" w14:textId="186D2FB2" w:rsidR="00462166" w:rsidRPr="00462166" w:rsidRDefault="00C9512F" w:rsidP="00B119A1">
      <w:pPr>
        <w:rPr>
          <w:rFonts w:ascii="Verdana" w:hAnsi="Verdana"/>
          <w:sz w:val="24"/>
          <w:szCs w:val="24"/>
          <w:lang w:val="en-GB"/>
        </w:rPr>
      </w:pPr>
      <w:r w:rsidRPr="00731C71">
        <w:rPr>
          <w:rFonts w:ascii="Verdana" w:hAnsi="Verdana"/>
          <w:sz w:val="24"/>
          <w:szCs w:val="24"/>
          <w:lang w:val="en-GB"/>
        </w:rPr>
        <w:t>DFI</w:t>
      </w:r>
      <w:r w:rsidR="004161C3" w:rsidRPr="00731C71">
        <w:rPr>
          <w:rFonts w:ascii="Verdana" w:hAnsi="Verdana"/>
          <w:sz w:val="24"/>
          <w:szCs w:val="24"/>
          <w:lang w:val="en-GB"/>
        </w:rPr>
        <w:t xml:space="preserve"> has outlined</w:t>
      </w:r>
      <w:r w:rsidR="00173C28" w:rsidRPr="00731C71">
        <w:rPr>
          <w:rFonts w:ascii="Verdana" w:hAnsi="Verdana"/>
          <w:sz w:val="24"/>
          <w:szCs w:val="24"/>
          <w:lang w:val="en-GB"/>
        </w:rPr>
        <w:t xml:space="preserve"> and foregrounded</w:t>
      </w:r>
      <w:r w:rsidR="004161C3" w:rsidRPr="00731C71">
        <w:rPr>
          <w:rFonts w:ascii="Verdana" w:hAnsi="Verdana"/>
          <w:sz w:val="24"/>
          <w:szCs w:val="24"/>
          <w:lang w:val="en-GB"/>
        </w:rPr>
        <w:t xml:space="preserve"> our </w:t>
      </w:r>
      <w:r w:rsidR="006049D0" w:rsidRPr="00731C71">
        <w:rPr>
          <w:rFonts w:ascii="Verdana" w:hAnsi="Verdana"/>
          <w:sz w:val="24"/>
          <w:szCs w:val="24"/>
          <w:lang w:val="en-GB"/>
        </w:rPr>
        <w:t>asks for Budget 2025</w:t>
      </w:r>
      <w:r w:rsidR="004161C3" w:rsidRPr="00731C71">
        <w:rPr>
          <w:rFonts w:ascii="Verdana" w:hAnsi="Verdana"/>
          <w:sz w:val="24"/>
          <w:szCs w:val="24"/>
          <w:lang w:val="en-GB"/>
        </w:rPr>
        <w:t xml:space="preserve"> in </w:t>
      </w:r>
      <w:r w:rsidR="00BA445C" w:rsidRPr="00731C71">
        <w:rPr>
          <w:rFonts w:ascii="Verdana" w:hAnsi="Verdana"/>
          <w:sz w:val="24"/>
          <w:szCs w:val="24"/>
          <w:lang w:val="en-GB"/>
        </w:rPr>
        <w:t xml:space="preserve">the </w:t>
      </w:r>
      <w:r w:rsidR="0081509A" w:rsidRPr="00731C71">
        <w:rPr>
          <w:rFonts w:ascii="Verdana" w:hAnsi="Verdana"/>
          <w:sz w:val="24"/>
          <w:szCs w:val="24"/>
          <w:lang w:val="en-GB"/>
        </w:rPr>
        <w:t>E</w:t>
      </w:r>
      <w:r w:rsidR="00BA445C" w:rsidRPr="00731C71">
        <w:rPr>
          <w:rFonts w:ascii="Verdana" w:hAnsi="Verdana"/>
          <w:sz w:val="24"/>
          <w:szCs w:val="24"/>
          <w:lang w:val="en-GB"/>
        </w:rPr>
        <w:t xml:space="preserve">xecutive </w:t>
      </w:r>
      <w:r w:rsidR="0081509A" w:rsidRPr="00731C71">
        <w:rPr>
          <w:rFonts w:ascii="Verdana" w:hAnsi="Verdana"/>
          <w:sz w:val="24"/>
          <w:szCs w:val="24"/>
          <w:lang w:val="en-GB"/>
        </w:rPr>
        <w:t>S</w:t>
      </w:r>
      <w:r w:rsidR="00BA445C" w:rsidRPr="00731C71">
        <w:rPr>
          <w:rFonts w:ascii="Verdana" w:hAnsi="Verdana"/>
          <w:sz w:val="24"/>
          <w:szCs w:val="24"/>
          <w:lang w:val="en-GB"/>
        </w:rPr>
        <w:t>ummary, for ease of access</w:t>
      </w:r>
      <w:r w:rsidR="006049D0" w:rsidRPr="00731C71">
        <w:rPr>
          <w:rFonts w:ascii="Verdana" w:hAnsi="Verdana"/>
          <w:sz w:val="24"/>
          <w:szCs w:val="24"/>
          <w:lang w:val="en-GB"/>
        </w:rPr>
        <w:t xml:space="preserve">. </w:t>
      </w:r>
      <w:r w:rsidR="003C7C3E" w:rsidRPr="00731C71">
        <w:rPr>
          <w:rFonts w:ascii="Verdana" w:hAnsi="Verdana"/>
          <w:sz w:val="24"/>
          <w:szCs w:val="24"/>
          <w:lang w:val="en-GB"/>
        </w:rPr>
        <w:t>As with previous years, there is significant relevant new and updated policy evidence and data available</w:t>
      </w:r>
      <w:r w:rsidR="00B212DD">
        <w:rPr>
          <w:rFonts w:ascii="Verdana" w:hAnsi="Verdana"/>
          <w:sz w:val="24"/>
          <w:szCs w:val="24"/>
          <w:lang w:val="en-GB"/>
        </w:rPr>
        <w:t xml:space="preserve"> since last year</w:t>
      </w:r>
      <w:r w:rsidR="003C7C3E" w:rsidRPr="00731C71">
        <w:rPr>
          <w:rFonts w:ascii="Verdana" w:hAnsi="Verdana"/>
          <w:sz w:val="24"/>
          <w:szCs w:val="24"/>
          <w:lang w:val="en-GB"/>
        </w:rPr>
        <w:t xml:space="preserve">. In this </w:t>
      </w:r>
      <w:r w:rsidR="0081509A" w:rsidRPr="00731C71">
        <w:rPr>
          <w:rFonts w:ascii="Verdana" w:hAnsi="Verdana"/>
          <w:sz w:val="24"/>
          <w:szCs w:val="24"/>
          <w:lang w:val="en-GB"/>
        </w:rPr>
        <w:t>submission we</w:t>
      </w:r>
      <w:r w:rsidRPr="00731C71">
        <w:rPr>
          <w:rFonts w:ascii="Verdana" w:hAnsi="Verdana"/>
          <w:sz w:val="24"/>
          <w:szCs w:val="24"/>
          <w:lang w:val="en-GB"/>
        </w:rPr>
        <w:t xml:space="preserve"> provide</w:t>
      </w:r>
      <w:r w:rsidR="003C7C3E" w:rsidRPr="00731C71">
        <w:rPr>
          <w:rFonts w:ascii="Verdana" w:hAnsi="Verdana"/>
          <w:sz w:val="24"/>
          <w:szCs w:val="24"/>
          <w:lang w:val="en-GB"/>
        </w:rPr>
        <w:t xml:space="preserve"> an extensive and detailed r</w:t>
      </w:r>
      <w:r w:rsidR="00861DFF" w:rsidRPr="00731C71">
        <w:rPr>
          <w:rFonts w:ascii="Verdana" w:hAnsi="Verdana"/>
          <w:sz w:val="24"/>
          <w:szCs w:val="24"/>
          <w:lang w:val="en-GB"/>
        </w:rPr>
        <w:t>eview of relevant</w:t>
      </w:r>
      <w:r w:rsidRPr="00731C71">
        <w:rPr>
          <w:rFonts w:ascii="Verdana" w:hAnsi="Verdana"/>
          <w:sz w:val="24"/>
          <w:szCs w:val="24"/>
          <w:lang w:val="en-GB"/>
        </w:rPr>
        <w:t xml:space="preserve"> </w:t>
      </w:r>
      <w:r w:rsidR="00231CCF" w:rsidRPr="00731C71">
        <w:rPr>
          <w:rFonts w:ascii="Verdana" w:hAnsi="Verdana"/>
          <w:sz w:val="24"/>
          <w:szCs w:val="24"/>
          <w:lang w:val="en-GB"/>
        </w:rPr>
        <w:t>latest publications and data</w:t>
      </w:r>
      <w:r w:rsidR="00B212DD">
        <w:rPr>
          <w:rFonts w:ascii="Verdana" w:hAnsi="Verdana"/>
          <w:sz w:val="24"/>
          <w:szCs w:val="24"/>
          <w:lang w:val="en-GB"/>
        </w:rPr>
        <w:t xml:space="preserve"> released</w:t>
      </w:r>
      <w:r w:rsidR="00231CCF" w:rsidRPr="00731C71">
        <w:rPr>
          <w:rFonts w:ascii="Verdana" w:hAnsi="Verdana"/>
          <w:sz w:val="24"/>
          <w:szCs w:val="24"/>
          <w:lang w:val="en-GB"/>
        </w:rPr>
        <w:t xml:space="preserve"> </w:t>
      </w:r>
      <w:r w:rsidR="00861DFF" w:rsidRPr="00731C71">
        <w:rPr>
          <w:rFonts w:ascii="Verdana" w:hAnsi="Verdana"/>
          <w:sz w:val="24"/>
          <w:szCs w:val="24"/>
          <w:lang w:val="en-GB"/>
        </w:rPr>
        <w:t>on disability</w:t>
      </w:r>
      <w:r w:rsidR="00173C28" w:rsidRPr="00731C71">
        <w:rPr>
          <w:rFonts w:ascii="Verdana" w:hAnsi="Verdana"/>
          <w:sz w:val="24"/>
          <w:szCs w:val="24"/>
          <w:lang w:val="en-GB"/>
        </w:rPr>
        <w:t xml:space="preserve"> by thematic area and heading</w:t>
      </w:r>
      <w:r w:rsidR="00861DFF" w:rsidRPr="00731C71">
        <w:rPr>
          <w:rFonts w:ascii="Verdana" w:hAnsi="Verdana"/>
          <w:sz w:val="24"/>
          <w:szCs w:val="24"/>
          <w:lang w:val="en-GB"/>
        </w:rPr>
        <w:t>, in order to support</w:t>
      </w:r>
      <w:r w:rsidRPr="00731C71">
        <w:rPr>
          <w:rFonts w:ascii="Verdana" w:hAnsi="Verdana"/>
          <w:sz w:val="24"/>
          <w:szCs w:val="24"/>
          <w:lang w:val="en-GB"/>
        </w:rPr>
        <w:t xml:space="preserve"> </w:t>
      </w:r>
      <w:r w:rsidR="00231CCF" w:rsidRPr="00731C71">
        <w:rPr>
          <w:rFonts w:ascii="Verdana" w:hAnsi="Verdana"/>
          <w:sz w:val="24"/>
          <w:szCs w:val="24"/>
          <w:lang w:val="en-GB"/>
        </w:rPr>
        <w:t>evidence-based polic</w:t>
      </w:r>
      <w:r w:rsidR="0081509A" w:rsidRPr="00731C71">
        <w:rPr>
          <w:rFonts w:ascii="Verdana" w:hAnsi="Verdana"/>
          <w:sz w:val="24"/>
          <w:szCs w:val="24"/>
          <w:lang w:val="en-GB"/>
        </w:rPr>
        <w:t>y decisions for Budget 2025</w:t>
      </w:r>
      <w:r w:rsidR="00191D51" w:rsidRPr="00731C71">
        <w:rPr>
          <w:rFonts w:ascii="Verdana" w:hAnsi="Verdana"/>
          <w:sz w:val="24"/>
          <w:szCs w:val="24"/>
          <w:lang w:val="en-GB"/>
        </w:rPr>
        <w:t>, and</w:t>
      </w:r>
      <w:r w:rsidRPr="00731C71">
        <w:rPr>
          <w:rFonts w:ascii="Verdana" w:hAnsi="Verdana"/>
          <w:sz w:val="24"/>
          <w:szCs w:val="24"/>
          <w:lang w:val="en-GB"/>
        </w:rPr>
        <w:t xml:space="preserve"> to </w:t>
      </w:r>
      <w:r w:rsidR="00B37B1D" w:rsidRPr="00731C71">
        <w:rPr>
          <w:rFonts w:ascii="Verdana" w:hAnsi="Verdana"/>
          <w:sz w:val="24"/>
          <w:szCs w:val="24"/>
          <w:lang w:val="en-GB"/>
        </w:rPr>
        <w:t xml:space="preserve">make clear the rationale and context for </w:t>
      </w:r>
      <w:r w:rsidR="00C92D5D">
        <w:rPr>
          <w:rFonts w:ascii="Verdana" w:hAnsi="Verdana"/>
          <w:sz w:val="24"/>
          <w:szCs w:val="24"/>
          <w:lang w:val="en-GB"/>
        </w:rPr>
        <w:t>the</w:t>
      </w:r>
      <w:r w:rsidR="00B37B1D" w:rsidRPr="00731C71">
        <w:rPr>
          <w:rFonts w:ascii="Verdana" w:hAnsi="Verdana"/>
          <w:sz w:val="24"/>
          <w:szCs w:val="24"/>
          <w:lang w:val="en-GB"/>
        </w:rPr>
        <w:t xml:space="preserve"> recommendations</w:t>
      </w:r>
      <w:r w:rsidR="00C92D5D">
        <w:rPr>
          <w:rFonts w:ascii="Verdana" w:hAnsi="Verdana"/>
          <w:sz w:val="24"/>
          <w:szCs w:val="24"/>
          <w:lang w:val="en-GB"/>
        </w:rPr>
        <w:t xml:space="preserve"> outlined in our executive summary</w:t>
      </w:r>
      <w:r w:rsidR="00B37B1D" w:rsidRPr="00731C71">
        <w:rPr>
          <w:rFonts w:ascii="Verdana" w:hAnsi="Verdana"/>
          <w:sz w:val="24"/>
          <w:szCs w:val="24"/>
          <w:lang w:val="en-GB"/>
        </w:rPr>
        <w:t>.</w:t>
      </w:r>
    </w:p>
    <w:p w14:paraId="52308F7F" w14:textId="226C8715" w:rsidR="003E75CD" w:rsidRPr="001907FE" w:rsidRDefault="00801922" w:rsidP="00C9044E">
      <w:pPr>
        <w:pStyle w:val="Heading2"/>
        <w:rPr>
          <w:rFonts w:ascii="Verdana" w:hAnsi="Verdana"/>
          <w:sz w:val="24"/>
          <w:szCs w:val="24"/>
        </w:rPr>
      </w:pPr>
      <w:bookmarkStart w:id="3" w:name="_Toc171069195"/>
      <w:r w:rsidRPr="001907FE">
        <w:rPr>
          <w:rFonts w:ascii="Verdana" w:hAnsi="Verdana"/>
          <w:sz w:val="24"/>
          <w:szCs w:val="24"/>
        </w:rPr>
        <w:t xml:space="preserve">The </w:t>
      </w:r>
      <w:r w:rsidR="00D158DF" w:rsidRPr="001907FE">
        <w:rPr>
          <w:rFonts w:ascii="Verdana" w:hAnsi="Verdana"/>
          <w:sz w:val="24"/>
          <w:szCs w:val="24"/>
        </w:rPr>
        <w:t>F</w:t>
      </w:r>
      <w:r w:rsidRPr="001907FE">
        <w:rPr>
          <w:rFonts w:ascii="Verdana" w:hAnsi="Verdana"/>
          <w:sz w:val="24"/>
          <w:szCs w:val="24"/>
        </w:rPr>
        <w:t>undamentals</w:t>
      </w:r>
      <w:r w:rsidR="005930AA" w:rsidRPr="001907FE">
        <w:rPr>
          <w:rFonts w:ascii="Verdana" w:hAnsi="Verdana"/>
          <w:sz w:val="24"/>
          <w:szCs w:val="24"/>
        </w:rPr>
        <w:t>:</w:t>
      </w:r>
      <w:r w:rsidRPr="001907FE">
        <w:rPr>
          <w:rFonts w:ascii="Verdana" w:hAnsi="Verdana"/>
          <w:sz w:val="24"/>
          <w:szCs w:val="24"/>
        </w:rPr>
        <w:t xml:space="preserve"> </w:t>
      </w:r>
      <w:r w:rsidR="003E75CD" w:rsidRPr="001907FE">
        <w:rPr>
          <w:rFonts w:ascii="Verdana" w:hAnsi="Verdana"/>
          <w:sz w:val="24"/>
          <w:szCs w:val="24"/>
        </w:rPr>
        <w:t>UN CRPD Commitments</w:t>
      </w:r>
      <w:bookmarkEnd w:id="3"/>
    </w:p>
    <w:p w14:paraId="290984B5" w14:textId="5B80E5E8" w:rsidR="00E235C4" w:rsidRDefault="00E235C4" w:rsidP="00E235C4">
      <w:pPr>
        <w:spacing w:line="276" w:lineRule="auto"/>
        <w:rPr>
          <w:rFonts w:ascii="Verdana" w:hAnsi="Verdana"/>
          <w:sz w:val="24"/>
          <w:szCs w:val="24"/>
        </w:rPr>
      </w:pPr>
      <w:r>
        <w:rPr>
          <w:rFonts w:ascii="Verdana" w:hAnsi="Verdana"/>
          <w:sz w:val="24"/>
          <w:szCs w:val="24"/>
        </w:rPr>
        <w:t>Ireland’s approach to social protection for people</w:t>
      </w:r>
      <w:r w:rsidR="009A0585">
        <w:rPr>
          <w:rFonts w:ascii="Verdana" w:hAnsi="Verdana"/>
          <w:sz w:val="24"/>
          <w:szCs w:val="24"/>
        </w:rPr>
        <w:t xml:space="preserve"> with disabilities</w:t>
      </w:r>
      <w:r>
        <w:rPr>
          <w:rFonts w:ascii="Verdana" w:hAnsi="Verdana"/>
          <w:sz w:val="24"/>
          <w:szCs w:val="24"/>
        </w:rPr>
        <w:t xml:space="preserve"> should be based on the UN CRPD (ratified in 2018), and in particular:</w:t>
      </w:r>
    </w:p>
    <w:p w14:paraId="6D34DEAE" w14:textId="77777777" w:rsidR="00E235C4" w:rsidRPr="001B57D2" w:rsidRDefault="00E235C4" w:rsidP="00E235C4">
      <w:pPr>
        <w:pStyle w:val="ListParagraph"/>
        <w:numPr>
          <w:ilvl w:val="0"/>
          <w:numId w:val="28"/>
        </w:numPr>
        <w:rPr>
          <w:rFonts w:ascii="Verdana" w:hAnsi="Verdana"/>
          <w:sz w:val="24"/>
          <w:szCs w:val="24"/>
          <w:lang w:val="en-GB"/>
        </w:rPr>
      </w:pPr>
      <w:r w:rsidRPr="001B57D2">
        <w:rPr>
          <w:rFonts w:ascii="Verdana" w:hAnsi="Verdana"/>
          <w:sz w:val="24"/>
          <w:szCs w:val="24"/>
          <w:lang w:val="en-GB"/>
        </w:rPr>
        <w:t xml:space="preserve">Article 28 </w:t>
      </w:r>
      <w:r>
        <w:rPr>
          <w:rFonts w:ascii="Verdana" w:hAnsi="Verdana"/>
          <w:sz w:val="24"/>
          <w:szCs w:val="24"/>
          <w:lang w:val="en-GB"/>
        </w:rPr>
        <w:t>– which outlines the</w:t>
      </w:r>
      <w:r w:rsidRPr="001B57D2">
        <w:rPr>
          <w:rFonts w:ascii="Verdana" w:hAnsi="Verdana"/>
          <w:sz w:val="24"/>
          <w:szCs w:val="24"/>
          <w:lang w:val="en-GB"/>
        </w:rPr>
        <w:t xml:space="preserve"> </w:t>
      </w:r>
      <w:r>
        <w:rPr>
          <w:rFonts w:ascii="Verdana" w:hAnsi="Verdana"/>
          <w:sz w:val="24"/>
          <w:szCs w:val="24"/>
          <w:lang w:val="en-GB"/>
        </w:rPr>
        <w:t>r</w:t>
      </w:r>
      <w:r w:rsidRPr="001B57D2">
        <w:rPr>
          <w:rFonts w:ascii="Verdana" w:hAnsi="Verdana"/>
          <w:sz w:val="24"/>
          <w:szCs w:val="24"/>
          <w:lang w:val="en-GB"/>
        </w:rPr>
        <w:t>ight to</w:t>
      </w:r>
      <w:r>
        <w:rPr>
          <w:rFonts w:ascii="Verdana" w:hAnsi="Verdana"/>
          <w:sz w:val="24"/>
          <w:szCs w:val="24"/>
          <w:lang w:val="en-GB"/>
        </w:rPr>
        <w:t xml:space="preserve"> an</w:t>
      </w:r>
      <w:r w:rsidRPr="001B57D2">
        <w:rPr>
          <w:rFonts w:ascii="Verdana" w:hAnsi="Verdana"/>
          <w:sz w:val="24"/>
          <w:szCs w:val="24"/>
          <w:lang w:val="en-GB"/>
        </w:rPr>
        <w:t xml:space="preserve"> adequate standard of living</w:t>
      </w:r>
      <w:r>
        <w:rPr>
          <w:rFonts w:ascii="Verdana" w:hAnsi="Verdana"/>
          <w:sz w:val="24"/>
          <w:szCs w:val="24"/>
          <w:lang w:val="en-GB"/>
        </w:rPr>
        <w:t xml:space="preserve"> and social protection, including the</w:t>
      </w:r>
      <w:r w:rsidRPr="001B57D2">
        <w:rPr>
          <w:rFonts w:ascii="Verdana" w:hAnsi="Verdana"/>
          <w:sz w:val="24"/>
          <w:szCs w:val="24"/>
          <w:lang w:val="en-GB"/>
        </w:rPr>
        <w:t xml:space="preserve"> continuous improv</w:t>
      </w:r>
      <w:r>
        <w:rPr>
          <w:rFonts w:ascii="Verdana" w:hAnsi="Verdana"/>
          <w:sz w:val="24"/>
          <w:szCs w:val="24"/>
          <w:lang w:val="en-GB"/>
        </w:rPr>
        <w:t>ement of</w:t>
      </w:r>
      <w:r w:rsidRPr="001B57D2">
        <w:rPr>
          <w:rFonts w:ascii="Verdana" w:hAnsi="Verdana"/>
          <w:sz w:val="24"/>
          <w:szCs w:val="24"/>
          <w:lang w:val="en-GB"/>
        </w:rPr>
        <w:t xml:space="preserve"> living </w:t>
      </w:r>
      <w:r>
        <w:rPr>
          <w:rFonts w:ascii="Verdana" w:hAnsi="Verdana"/>
          <w:sz w:val="24"/>
          <w:szCs w:val="24"/>
          <w:lang w:val="en-GB"/>
        </w:rPr>
        <w:t>conditions</w:t>
      </w:r>
      <w:r w:rsidRPr="001B57D2">
        <w:rPr>
          <w:rFonts w:ascii="Verdana" w:hAnsi="Verdana"/>
          <w:sz w:val="24"/>
          <w:szCs w:val="24"/>
          <w:lang w:val="en-GB"/>
        </w:rPr>
        <w:t>,</w:t>
      </w:r>
      <w:r>
        <w:rPr>
          <w:rFonts w:ascii="Verdana" w:hAnsi="Verdana"/>
          <w:sz w:val="24"/>
          <w:szCs w:val="24"/>
          <w:lang w:val="en-GB"/>
        </w:rPr>
        <w:t xml:space="preserve"> poverty reduction programmes and</w:t>
      </w:r>
      <w:r w:rsidRPr="001B57D2">
        <w:rPr>
          <w:rFonts w:ascii="Verdana" w:hAnsi="Verdana"/>
          <w:sz w:val="24"/>
          <w:szCs w:val="24"/>
          <w:lang w:val="en-GB"/>
        </w:rPr>
        <w:t xml:space="preserve"> to state </w:t>
      </w:r>
      <w:r>
        <w:rPr>
          <w:rFonts w:ascii="Verdana" w:hAnsi="Verdana"/>
          <w:sz w:val="24"/>
          <w:szCs w:val="24"/>
          <w:lang w:val="en-GB"/>
        </w:rPr>
        <w:t xml:space="preserve">assistance </w:t>
      </w:r>
      <w:r w:rsidRPr="001B57D2">
        <w:rPr>
          <w:rFonts w:ascii="Verdana" w:hAnsi="Verdana"/>
          <w:sz w:val="24"/>
          <w:szCs w:val="24"/>
          <w:lang w:val="en-GB"/>
        </w:rPr>
        <w:t xml:space="preserve">with </w:t>
      </w:r>
      <w:r>
        <w:rPr>
          <w:rFonts w:ascii="Verdana" w:hAnsi="Verdana"/>
          <w:sz w:val="24"/>
          <w:szCs w:val="24"/>
          <w:lang w:val="en-GB"/>
        </w:rPr>
        <w:t xml:space="preserve">the extra </w:t>
      </w:r>
      <w:r w:rsidRPr="001B57D2">
        <w:rPr>
          <w:rFonts w:ascii="Verdana" w:hAnsi="Verdana"/>
          <w:sz w:val="24"/>
          <w:szCs w:val="24"/>
          <w:lang w:val="en-GB"/>
        </w:rPr>
        <w:t>Cost of Disability</w:t>
      </w:r>
      <w:r>
        <w:rPr>
          <w:rFonts w:ascii="Verdana" w:hAnsi="Verdana"/>
          <w:sz w:val="24"/>
          <w:szCs w:val="24"/>
          <w:lang w:val="en-GB"/>
        </w:rPr>
        <w:t>.</w:t>
      </w:r>
    </w:p>
    <w:p w14:paraId="514F4983" w14:textId="65DD0420" w:rsidR="00F96AD9" w:rsidRDefault="00E235C4" w:rsidP="00F96AD9">
      <w:pPr>
        <w:pStyle w:val="ListParagraph"/>
        <w:numPr>
          <w:ilvl w:val="0"/>
          <w:numId w:val="28"/>
        </w:numPr>
        <w:rPr>
          <w:rFonts w:ascii="Verdana" w:hAnsi="Verdana"/>
          <w:sz w:val="24"/>
          <w:szCs w:val="24"/>
          <w:lang w:val="en-GB"/>
        </w:rPr>
      </w:pPr>
      <w:r w:rsidRPr="001B57D2">
        <w:rPr>
          <w:rFonts w:ascii="Verdana" w:hAnsi="Verdana"/>
          <w:sz w:val="24"/>
          <w:szCs w:val="24"/>
          <w:lang w:val="en-GB"/>
        </w:rPr>
        <w:t xml:space="preserve">Article 27 – </w:t>
      </w:r>
      <w:r>
        <w:rPr>
          <w:rFonts w:ascii="Verdana" w:hAnsi="Verdana"/>
          <w:sz w:val="24"/>
          <w:szCs w:val="24"/>
          <w:lang w:val="en-GB"/>
        </w:rPr>
        <w:t>which outlines the r</w:t>
      </w:r>
      <w:r w:rsidRPr="001B57D2">
        <w:rPr>
          <w:rFonts w:ascii="Verdana" w:hAnsi="Verdana"/>
          <w:sz w:val="24"/>
          <w:szCs w:val="24"/>
          <w:lang w:val="en-GB"/>
        </w:rPr>
        <w:t xml:space="preserve">ight to </w:t>
      </w:r>
      <w:r>
        <w:rPr>
          <w:rFonts w:ascii="Verdana" w:hAnsi="Verdana"/>
          <w:sz w:val="24"/>
          <w:szCs w:val="24"/>
          <w:lang w:val="en-GB"/>
        </w:rPr>
        <w:t>work on an equal basis with others, the right to t</w:t>
      </w:r>
      <w:r w:rsidRPr="001B57D2">
        <w:rPr>
          <w:rFonts w:ascii="Verdana" w:hAnsi="Verdana"/>
          <w:sz w:val="24"/>
          <w:szCs w:val="24"/>
          <w:lang w:val="en-GB"/>
        </w:rPr>
        <w:t xml:space="preserve">raining, return to work, </w:t>
      </w:r>
      <w:r>
        <w:rPr>
          <w:rFonts w:ascii="Verdana" w:hAnsi="Verdana"/>
          <w:sz w:val="24"/>
          <w:szCs w:val="24"/>
          <w:lang w:val="en-GB"/>
        </w:rPr>
        <w:t xml:space="preserve">and </w:t>
      </w:r>
      <w:r w:rsidRPr="001B57D2">
        <w:rPr>
          <w:rFonts w:ascii="Verdana" w:hAnsi="Verdana"/>
          <w:sz w:val="24"/>
          <w:szCs w:val="24"/>
          <w:lang w:val="en-GB"/>
        </w:rPr>
        <w:t>reasonable accommodation</w:t>
      </w:r>
      <w:r>
        <w:rPr>
          <w:rFonts w:ascii="Verdana" w:hAnsi="Verdana"/>
          <w:sz w:val="24"/>
          <w:szCs w:val="24"/>
          <w:lang w:val="en-GB"/>
        </w:rPr>
        <w:t>.</w:t>
      </w:r>
    </w:p>
    <w:p w14:paraId="45089DF9" w14:textId="61CFD2A1" w:rsidR="00754E73" w:rsidRPr="0075525F" w:rsidRDefault="009F4412" w:rsidP="0075525F">
      <w:pPr>
        <w:pStyle w:val="Heading2"/>
        <w:rPr>
          <w:rFonts w:ascii="Verdana" w:hAnsi="Verdana"/>
          <w:sz w:val="24"/>
          <w:szCs w:val="24"/>
          <w:lang w:val="en-GB"/>
        </w:rPr>
      </w:pPr>
      <w:bookmarkStart w:id="4" w:name="_Toc171069196"/>
      <w:r w:rsidRPr="0075525F">
        <w:rPr>
          <w:rFonts w:ascii="Verdana" w:hAnsi="Verdana"/>
          <w:sz w:val="24"/>
          <w:szCs w:val="24"/>
          <w:lang w:val="en-GB"/>
        </w:rPr>
        <w:t xml:space="preserve">Disproportionately </w:t>
      </w:r>
      <w:r w:rsidR="002273DC" w:rsidRPr="0075525F">
        <w:rPr>
          <w:rFonts w:ascii="Verdana" w:hAnsi="Verdana"/>
          <w:sz w:val="24"/>
          <w:szCs w:val="24"/>
          <w:lang w:val="en-GB"/>
        </w:rPr>
        <w:t xml:space="preserve">High Poverty </w:t>
      </w:r>
      <w:r w:rsidR="003E75CD" w:rsidRPr="0075525F">
        <w:rPr>
          <w:rFonts w:ascii="Verdana" w:hAnsi="Verdana"/>
          <w:sz w:val="24"/>
          <w:szCs w:val="24"/>
          <w:lang w:val="en-GB"/>
        </w:rPr>
        <w:t>and Increasing Deprivation</w:t>
      </w:r>
      <w:bookmarkEnd w:id="4"/>
    </w:p>
    <w:p w14:paraId="5A2D43AF" w14:textId="504FB184" w:rsidR="00A83C40" w:rsidRDefault="00F33852" w:rsidP="006D1E6F">
      <w:pPr>
        <w:rPr>
          <w:rFonts w:ascii="Verdana" w:hAnsi="Verdana"/>
          <w:sz w:val="24"/>
          <w:szCs w:val="24"/>
        </w:rPr>
      </w:pPr>
      <w:r>
        <w:rPr>
          <w:rFonts w:ascii="Verdana" w:hAnsi="Verdana"/>
          <w:sz w:val="24"/>
          <w:szCs w:val="24"/>
          <w:lang w:val="en-GB"/>
        </w:rPr>
        <w:t xml:space="preserve">The most recent annual poverty </w:t>
      </w:r>
      <w:r w:rsidR="004127AA">
        <w:rPr>
          <w:rFonts w:ascii="Verdana" w:hAnsi="Verdana"/>
          <w:sz w:val="24"/>
          <w:szCs w:val="24"/>
          <w:lang w:val="en-GB"/>
        </w:rPr>
        <w:t xml:space="preserve">statistics show that </w:t>
      </w:r>
      <w:r w:rsidR="000D5F18">
        <w:rPr>
          <w:rFonts w:ascii="Verdana" w:hAnsi="Verdana"/>
          <w:sz w:val="24"/>
          <w:szCs w:val="24"/>
        </w:rPr>
        <w:t>o</w:t>
      </w:r>
      <w:r w:rsidR="00BE1BC3">
        <w:rPr>
          <w:rFonts w:ascii="Verdana" w:hAnsi="Verdana"/>
          <w:sz w:val="24"/>
          <w:szCs w:val="24"/>
        </w:rPr>
        <w:t xml:space="preserve">nce again </w:t>
      </w:r>
      <w:r w:rsidR="00BD0F74">
        <w:rPr>
          <w:rFonts w:ascii="Verdana" w:hAnsi="Verdana"/>
          <w:sz w:val="24"/>
          <w:szCs w:val="24"/>
        </w:rPr>
        <w:t xml:space="preserve">disabled people unable to work </w:t>
      </w:r>
      <w:r w:rsidR="00997F83">
        <w:rPr>
          <w:rFonts w:ascii="Verdana" w:hAnsi="Verdana"/>
          <w:sz w:val="24"/>
          <w:szCs w:val="24"/>
        </w:rPr>
        <w:t xml:space="preserve">frequently </w:t>
      </w:r>
      <w:r w:rsidR="00A7181A">
        <w:rPr>
          <w:rFonts w:ascii="Verdana" w:hAnsi="Verdana"/>
          <w:sz w:val="24"/>
          <w:szCs w:val="24"/>
        </w:rPr>
        <w:t>cannot afford the basic essentials</w:t>
      </w:r>
      <w:r w:rsidR="0022134D">
        <w:rPr>
          <w:rFonts w:ascii="Verdana" w:hAnsi="Verdana"/>
          <w:sz w:val="24"/>
          <w:szCs w:val="24"/>
        </w:rPr>
        <w:t xml:space="preserve"> in life</w:t>
      </w:r>
      <w:r w:rsidR="000D5F18">
        <w:rPr>
          <w:rFonts w:ascii="Verdana" w:hAnsi="Verdana"/>
          <w:sz w:val="24"/>
          <w:szCs w:val="24"/>
        </w:rPr>
        <w:t>:</w:t>
      </w:r>
      <w:r w:rsidR="006D1E6F" w:rsidRPr="006D1E6F">
        <w:rPr>
          <w:rFonts w:ascii="Verdana" w:hAnsi="Verdana"/>
          <w:sz w:val="24"/>
          <w:szCs w:val="24"/>
        </w:rPr>
        <w:t xml:space="preserve"> </w:t>
      </w:r>
    </w:p>
    <w:p w14:paraId="3AF7FAC1" w14:textId="111B4252" w:rsidR="00506CA2" w:rsidRDefault="00506CA2" w:rsidP="00506CA2">
      <w:pPr>
        <w:pStyle w:val="ListParagraph"/>
        <w:numPr>
          <w:ilvl w:val="0"/>
          <w:numId w:val="4"/>
        </w:numPr>
        <w:spacing w:line="276" w:lineRule="auto"/>
        <w:rPr>
          <w:rFonts w:ascii="Verdana" w:hAnsi="Verdana"/>
          <w:sz w:val="24"/>
          <w:szCs w:val="24"/>
        </w:rPr>
      </w:pPr>
      <w:r>
        <w:rPr>
          <w:rFonts w:ascii="Verdana" w:hAnsi="Verdana"/>
          <w:sz w:val="24"/>
          <w:szCs w:val="24"/>
        </w:rPr>
        <w:t xml:space="preserve">EU SILC data show </w:t>
      </w:r>
      <w:r w:rsidRPr="004B339F">
        <w:rPr>
          <w:rFonts w:ascii="Verdana" w:hAnsi="Verdana"/>
          <w:sz w:val="24"/>
          <w:szCs w:val="24"/>
        </w:rPr>
        <w:t>while on average 2</w:t>
      </w:r>
      <w:r>
        <w:rPr>
          <w:rFonts w:ascii="Verdana" w:hAnsi="Verdana"/>
          <w:sz w:val="24"/>
          <w:szCs w:val="24"/>
        </w:rPr>
        <w:t>8</w:t>
      </w:r>
      <w:r w:rsidRPr="004B339F">
        <w:rPr>
          <w:rFonts w:ascii="Verdana" w:hAnsi="Verdana"/>
          <w:sz w:val="24"/>
          <w:szCs w:val="24"/>
        </w:rPr>
        <w:t>.</w:t>
      </w:r>
      <w:r>
        <w:rPr>
          <w:rFonts w:ascii="Verdana" w:hAnsi="Verdana"/>
          <w:sz w:val="24"/>
          <w:szCs w:val="24"/>
        </w:rPr>
        <w:t>8</w:t>
      </w:r>
      <w:r w:rsidRPr="004B339F">
        <w:rPr>
          <w:rFonts w:ascii="Verdana" w:hAnsi="Verdana"/>
          <w:sz w:val="24"/>
          <w:szCs w:val="24"/>
        </w:rPr>
        <w:t>% of the EU population with a disability were at risk of poverty or social exclusion (AROPE) in 202</w:t>
      </w:r>
      <w:r>
        <w:rPr>
          <w:rFonts w:ascii="Verdana" w:hAnsi="Verdana"/>
          <w:sz w:val="24"/>
          <w:szCs w:val="24"/>
        </w:rPr>
        <w:t>2</w:t>
      </w:r>
      <w:r w:rsidRPr="004B339F">
        <w:rPr>
          <w:rFonts w:ascii="Verdana" w:hAnsi="Verdana"/>
          <w:sz w:val="24"/>
          <w:szCs w:val="24"/>
        </w:rPr>
        <w:t xml:space="preserve">, Ireland’s rate was </w:t>
      </w:r>
      <w:r>
        <w:rPr>
          <w:rFonts w:ascii="Verdana" w:hAnsi="Verdana"/>
          <w:sz w:val="24"/>
          <w:szCs w:val="24"/>
        </w:rPr>
        <w:t xml:space="preserve">more than </w:t>
      </w:r>
      <w:r w:rsidRPr="004B339F">
        <w:rPr>
          <w:rFonts w:ascii="Verdana" w:hAnsi="Verdana"/>
          <w:sz w:val="24"/>
          <w:szCs w:val="24"/>
        </w:rPr>
        <w:t>10% higher, at 39.</w:t>
      </w:r>
      <w:r>
        <w:rPr>
          <w:rFonts w:ascii="Verdana" w:hAnsi="Verdana"/>
          <w:sz w:val="24"/>
          <w:szCs w:val="24"/>
        </w:rPr>
        <w:t>5</w:t>
      </w:r>
      <w:r w:rsidRPr="004B339F">
        <w:rPr>
          <w:rFonts w:ascii="Verdana" w:hAnsi="Verdana"/>
          <w:sz w:val="24"/>
          <w:szCs w:val="24"/>
        </w:rPr>
        <w:t xml:space="preserve">%. </w:t>
      </w:r>
    </w:p>
    <w:p w14:paraId="420BE1A1" w14:textId="77777777" w:rsidR="00ED1572" w:rsidRDefault="00506CA2" w:rsidP="00490030">
      <w:pPr>
        <w:pStyle w:val="ListParagraph"/>
        <w:numPr>
          <w:ilvl w:val="0"/>
          <w:numId w:val="4"/>
        </w:numPr>
        <w:spacing w:line="276" w:lineRule="auto"/>
        <w:rPr>
          <w:rFonts w:ascii="Verdana" w:hAnsi="Verdana"/>
          <w:sz w:val="24"/>
          <w:szCs w:val="24"/>
        </w:rPr>
      </w:pPr>
      <w:r w:rsidRPr="00977EEE">
        <w:rPr>
          <w:rFonts w:ascii="Verdana" w:hAnsi="Verdana"/>
          <w:sz w:val="24"/>
          <w:szCs w:val="24"/>
        </w:rPr>
        <w:t>Ireland ranks 22</w:t>
      </w:r>
      <w:r w:rsidRPr="00977EEE">
        <w:rPr>
          <w:rFonts w:ascii="Verdana" w:hAnsi="Verdana"/>
          <w:sz w:val="24"/>
          <w:szCs w:val="24"/>
          <w:vertAlign w:val="superscript"/>
        </w:rPr>
        <w:t>nd</w:t>
      </w:r>
      <w:r w:rsidRPr="00977EEE">
        <w:rPr>
          <w:rFonts w:ascii="Verdana" w:hAnsi="Verdana"/>
          <w:sz w:val="24"/>
          <w:szCs w:val="24"/>
        </w:rPr>
        <w:t xml:space="preserve"> of the EU 27 on disability poverty, despite being one of the wealthier EU states.</w:t>
      </w:r>
      <w:r w:rsidR="0025359B">
        <w:rPr>
          <w:rFonts w:ascii="Verdana" w:hAnsi="Verdana"/>
          <w:sz w:val="24"/>
          <w:szCs w:val="24"/>
        </w:rPr>
        <w:t xml:space="preserve"> Only Bulgaria, Estonia, Latvia, Lithuania and Romania have higher disability poverty rates.</w:t>
      </w:r>
      <w:r w:rsidRPr="00977EEE">
        <w:rPr>
          <w:rStyle w:val="FootnoteReference"/>
          <w:rFonts w:ascii="Verdana" w:hAnsi="Verdana"/>
          <w:sz w:val="24"/>
          <w:szCs w:val="24"/>
        </w:rPr>
        <w:footnoteReference w:id="5"/>
      </w:r>
    </w:p>
    <w:p w14:paraId="02ADC30B" w14:textId="38A586D5" w:rsidR="00EB1F4E" w:rsidRDefault="007903FE" w:rsidP="00EB1F4E">
      <w:pPr>
        <w:pStyle w:val="ListParagraph"/>
        <w:numPr>
          <w:ilvl w:val="0"/>
          <w:numId w:val="3"/>
        </w:numPr>
        <w:rPr>
          <w:rFonts w:ascii="Verdana" w:hAnsi="Verdana"/>
          <w:sz w:val="24"/>
          <w:szCs w:val="24"/>
        </w:rPr>
      </w:pPr>
      <w:r w:rsidRPr="00274928">
        <w:rPr>
          <w:rFonts w:ascii="Verdana" w:hAnsi="Verdana"/>
          <w:sz w:val="24"/>
          <w:szCs w:val="24"/>
        </w:rPr>
        <w:t>The 202</w:t>
      </w:r>
      <w:r>
        <w:rPr>
          <w:rFonts w:ascii="Verdana" w:hAnsi="Verdana"/>
          <w:sz w:val="24"/>
          <w:szCs w:val="24"/>
        </w:rPr>
        <w:t>3</w:t>
      </w:r>
      <w:r w:rsidRPr="00274928">
        <w:rPr>
          <w:rFonts w:ascii="Verdana" w:hAnsi="Verdana"/>
          <w:sz w:val="24"/>
          <w:szCs w:val="24"/>
        </w:rPr>
        <w:t xml:space="preserve"> CSO SILC data show </w:t>
      </w:r>
      <w:r w:rsidR="00EB1F4E" w:rsidRPr="00274928">
        <w:rPr>
          <w:rFonts w:ascii="Verdana" w:hAnsi="Verdana"/>
          <w:sz w:val="24"/>
          <w:szCs w:val="24"/>
        </w:rPr>
        <w:t>an increase in Deprivation</w:t>
      </w:r>
      <w:r w:rsidR="00EB1F4E">
        <w:rPr>
          <w:rFonts w:ascii="Verdana" w:hAnsi="Verdana"/>
          <w:sz w:val="24"/>
          <w:szCs w:val="24"/>
        </w:rPr>
        <w:t>, and the extent to which improvements in poverty rates</w:t>
      </w:r>
      <w:r w:rsidR="00C600B8">
        <w:rPr>
          <w:rFonts w:ascii="Verdana" w:hAnsi="Verdana"/>
          <w:sz w:val="24"/>
          <w:szCs w:val="24"/>
        </w:rPr>
        <w:t xml:space="preserve"> last year</w:t>
      </w:r>
      <w:r w:rsidR="00EB1F4E">
        <w:rPr>
          <w:rFonts w:ascii="Verdana" w:hAnsi="Verdana"/>
          <w:sz w:val="24"/>
          <w:szCs w:val="24"/>
        </w:rPr>
        <w:t xml:space="preserve"> depended on one-off measures</w:t>
      </w:r>
      <w:r w:rsidR="00F4637B">
        <w:rPr>
          <w:rFonts w:ascii="Verdana" w:hAnsi="Verdana"/>
          <w:sz w:val="24"/>
          <w:szCs w:val="24"/>
        </w:rPr>
        <w:t xml:space="preserve"> – without these consistent and at risk of poverty rates would have risen by</w:t>
      </w:r>
      <w:r w:rsidR="0057784D">
        <w:rPr>
          <w:rFonts w:ascii="Verdana" w:hAnsi="Verdana"/>
          <w:sz w:val="24"/>
          <w:szCs w:val="24"/>
        </w:rPr>
        <w:t xml:space="preserve"> close to 4%</w:t>
      </w:r>
      <w:r w:rsidR="00C600B8">
        <w:rPr>
          <w:rFonts w:ascii="Verdana" w:hAnsi="Verdana"/>
          <w:sz w:val="24"/>
          <w:szCs w:val="24"/>
        </w:rPr>
        <w:t xml:space="preserve"> each</w:t>
      </w:r>
      <w:r w:rsidR="00EB1F4E" w:rsidRPr="00274928">
        <w:rPr>
          <w:rFonts w:ascii="Verdana" w:hAnsi="Verdana"/>
          <w:sz w:val="24"/>
          <w:szCs w:val="24"/>
        </w:rPr>
        <w:t>.</w:t>
      </w:r>
    </w:p>
    <w:p w14:paraId="77AD2E4F" w14:textId="4B14F706" w:rsidR="00676E33" w:rsidRPr="001907FE" w:rsidRDefault="00676E33" w:rsidP="001907FE">
      <w:pPr>
        <w:pStyle w:val="Heading1"/>
        <w:rPr>
          <w:sz w:val="24"/>
          <w:szCs w:val="24"/>
          <w:lang w:val="en-GB"/>
        </w:rPr>
      </w:pPr>
      <w:bookmarkStart w:id="5" w:name="_Toc171069197"/>
      <w:r w:rsidRPr="001907FE">
        <w:rPr>
          <w:sz w:val="24"/>
          <w:szCs w:val="24"/>
          <w:lang w:val="en-GB"/>
        </w:rPr>
        <w:t>CSO SILC 202</w:t>
      </w:r>
      <w:r w:rsidR="001A50AE" w:rsidRPr="001907FE">
        <w:rPr>
          <w:sz w:val="24"/>
          <w:szCs w:val="24"/>
          <w:lang w:val="en-GB"/>
        </w:rPr>
        <w:t>3</w:t>
      </w:r>
      <w:r w:rsidR="00E37070" w:rsidRPr="001907FE">
        <w:rPr>
          <w:sz w:val="24"/>
          <w:szCs w:val="24"/>
          <w:lang w:val="en-GB"/>
        </w:rPr>
        <w:t xml:space="preserve"> – Poverty</w:t>
      </w:r>
      <w:r w:rsidR="001A0A67" w:rsidRPr="001907FE">
        <w:rPr>
          <w:sz w:val="24"/>
          <w:szCs w:val="24"/>
          <w:lang w:val="en-GB"/>
        </w:rPr>
        <w:t xml:space="preserve"> Persists</w:t>
      </w:r>
      <w:r w:rsidR="00E37070" w:rsidRPr="001907FE">
        <w:rPr>
          <w:sz w:val="24"/>
          <w:szCs w:val="24"/>
          <w:lang w:val="en-GB"/>
        </w:rPr>
        <w:t xml:space="preserve"> and Deprivation </w:t>
      </w:r>
      <w:r w:rsidR="001A0A67" w:rsidRPr="001907FE">
        <w:rPr>
          <w:sz w:val="24"/>
          <w:szCs w:val="24"/>
          <w:lang w:val="en-GB"/>
        </w:rPr>
        <w:t>Increases</w:t>
      </w:r>
      <w:bookmarkEnd w:id="5"/>
    </w:p>
    <w:p w14:paraId="065DA20D" w14:textId="339C61C6" w:rsidR="00C600B8" w:rsidRDefault="00A748D3" w:rsidP="00A748D3">
      <w:pPr>
        <w:spacing w:line="276" w:lineRule="auto"/>
        <w:rPr>
          <w:rFonts w:ascii="Verdana" w:hAnsi="Verdana"/>
          <w:sz w:val="24"/>
          <w:szCs w:val="24"/>
        </w:rPr>
      </w:pPr>
      <w:r w:rsidRPr="00FE4C95">
        <w:rPr>
          <w:rFonts w:ascii="Verdana" w:hAnsi="Verdana"/>
          <w:sz w:val="24"/>
          <w:szCs w:val="24"/>
        </w:rPr>
        <w:t>T</w:t>
      </w:r>
      <w:r w:rsidRPr="5F07FF00">
        <w:rPr>
          <w:rFonts w:ascii="Verdana" w:hAnsi="Verdana"/>
          <w:sz w:val="24"/>
          <w:szCs w:val="24"/>
        </w:rPr>
        <w:t>he 202</w:t>
      </w:r>
      <w:r w:rsidR="001A50AE">
        <w:rPr>
          <w:rFonts w:ascii="Verdana" w:hAnsi="Verdana"/>
          <w:sz w:val="24"/>
          <w:szCs w:val="24"/>
        </w:rPr>
        <w:t>3</w:t>
      </w:r>
      <w:r w:rsidRPr="5F07FF00">
        <w:rPr>
          <w:rFonts w:ascii="Verdana" w:hAnsi="Verdana"/>
          <w:sz w:val="24"/>
          <w:szCs w:val="24"/>
        </w:rPr>
        <w:t xml:space="preserve"> CSO national SILC </w:t>
      </w:r>
      <w:r w:rsidRPr="00FE4C95">
        <w:rPr>
          <w:rFonts w:ascii="Verdana" w:eastAsia="Verdana" w:hAnsi="Verdana" w:cs="Verdana"/>
          <w:color w:val="000000" w:themeColor="text1"/>
          <w:sz w:val="24"/>
          <w:szCs w:val="24"/>
        </w:rPr>
        <w:t>data</w:t>
      </w:r>
      <w:r w:rsidR="00253447">
        <w:rPr>
          <w:rFonts w:ascii="Verdana" w:eastAsia="Verdana" w:hAnsi="Verdana" w:cs="Verdana"/>
          <w:color w:val="000000" w:themeColor="text1"/>
          <w:sz w:val="24"/>
          <w:szCs w:val="24"/>
        </w:rPr>
        <w:t xml:space="preserve"> </w:t>
      </w:r>
      <w:r w:rsidR="00253447" w:rsidRPr="5F07FF00">
        <w:rPr>
          <w:rFonts w:ascii="Verdana" w:hAnsi="Verdana"/>
          <w:sz w:val="24"/>
          <w:szCs w:val="24"/>
        </w:rPr>
        <w:t xml:space="preserve">provides </w:t>
      </w:r>
      <w:r w:rsidR="00253447">
        <w:rPr>
          <w:rFonts w:ascii="Verdana" w:hAnsi="Verdana"/>
          <w:sz w:val="24"/>
          <w:szCs w:val="24"/>
        </w:rPr>
        <w:t>the latest</w:t>
      </w:r>
      <w:r w:rsidR="00253447" w:rsidRPr="5F07FF00">
        <w:rPr>
          <w:rFonts w:ascii="Verdana" w:hAnsi="Verdana"/>
          <w:sz w:val="24"/>
          <w:szCs w:val="24"/>
        </w:rPr>
        <w:t xml:space="preserve"> evidence illustrat</w:t>
      </w:r>
      <w:r w:rsidR="00253447">
        <w:rPr>
          <w:rFonts w:ascii="Verdana" w:hAnsi="Verdana"/>
          <w:sz w:val="24"/>
          <w:szCs w:val="24"/>
        </w:rPr>
        <w:t>ing the extremely high levels of disability poverty.</w:t>
      </w:r>
      <w:r w:rsidRPr="5F07FF00">
        <w:rPr>
          <w:rFonts w:ascii="Verdana" w:hAnsi="Verdana"/>
          <w:sz w:val="24"/>
          <w:szCs w:val="24"/>
        </w:rPr>
        <w:t xml:space="preserve"> </w:t>
      </w:r>
      <w:r w:rsidR="005666FE">
        <w:rPr>
          <w:rFonts w:ascii="Verdana" w:hAnsi="Verdana"/>
          <w:sz w:val="24"/>
          <w:szCs w:val="24"/>
        </w:rPr>
        <w:t xml:space="preserve">The data </w:t>
      </w:r>
      <w:r w:rsidR="005666FE" w:rsidRPr="00182580">
        <w:rPr>
          <w:rFonts w:ascii="Verdana" w:hAnsi="Verdana"/>
          <w:sz w:val="24"/>
          <w:szCs w:val="24"/>
        </w:rPr>
        <w:t>show increases in deprivation last year, and an almost static rate of consistent poverty</w:t>
      </w:r>
      <w:r w:rsidR="005666FE">
        <w:rPr>
          <w:rFonts w:ascii="Verdana" w:hAnsi="Verdana"/>
          <w:sz w:val="24"/>
          <w:szCs w:val="24"/>
        </w:rPr>
        <w:t>.</w:t>
      </w:r>
      <w:r w:rsidR="005666FE">
        <w:rPr>
          <w:rStyle w:val="FootnoteReference"/>
          <w:rFonts w:ascii="Verdana" w:hAnsi="Verdana"/>
          <w:sz w:val="24"/>
          <w:szCs w:val="24"/>
        </w:rPr>
        <w:footnoteReference w:id="6"/>
      </w:r>
      <w:r w:rsidR="005666FE" w:rsidRPr="00182580">
        <w:rPr>
          <w:rFonts w:ascii="Verdana" w:hAnsi="Verdana"/>
          <w:sz w:val="24"/>
          <w:szCs w:val="24"/>
        </w:rPr>
        <w:t xml:space="preserve"> </w:t>
      </w:r>
      <w:r w:rsidRPr="5F07FF00">
        <w:rPr>
          <w:rFonts w:ascii="Verdana" w:hAnsi="Verdana"/>
          <w:sz w:val="24"/>
          <w:szCs w:val="24"/>
        </w:rPr>
        <w:t xml:space="preserve">It </w:t>
      </w:r>
      <w:r w:rsidRPr="5F07FF00">
        <w:rPr>
          <w:rFonts w:ascii="Verdana" w:hAnsi="Verdana"/>
          <w:sz w:val="24"/>
          <w:szCs w:val="24"/>
        </w:rPr>
        <w:lastRenderedPageBreak/>
        <w:t>shows</w:t>
      </w:r>
      <w:r w:rsidR="008534C6">
        <w:rPr>
          <w:rFonts w:ascii="Verdana" w:hAnsi="Verdana"/>
          <w:sz w:val="24"/>
          <w:szCs w:val="24"/>
        </w:rPr>
        <w:t xml:space="preserve"> for people </w:t>
      </w:r>
      <w:r w:rsidR="008534C6" w:rsidRPr="00F20920">
        <w:rPr>
          <w:rFonts w:ascii="Verdana" w:hAnsi="Verdana"/>
          <w:sz w:val="24"/>
          <w:szCs w:val="24"/>
        </w:rPr>
        <w:t>unable to work due to long-standing health problem (disability)</w:t>
      </w:r>
      <w:r w:rsidRPr="5F07FF00">
        <w:rPr>
          <w:rFonts w:ascii="Verdana" w:hAnsi="Verdana"/>
          <w:sz w:val="24"/>
          <w:szCs w:val="24"/>
        </w:rPr>
        <w:t xml:space="preserve"> that:</w:t>
      </w:r>
    </w:p>
    <w:p w14:paraId="7592C3E5" w14:textId="508724AB" w:rsidR="00F20920" w:rsidRPr="00F20920" w:rsidRDefault="00C600B8" w:rsidP="00F20920">
      <w:pPr>
        <w:pStyle w:val="ListParagraph"/>
        <w:numPr>
          <w:ilvl w:val="0"/>
          <w:numId w:val="4"/>
        </w:numPr>
        <w:spacing w:line="276" w:lineRule="auto"/>
        <w:rPr>
          <w:rFonts w:ascii="Verdana" w:hAnsi="Verdana"/>
          <w:sz w:val="24"/>
          <w:szCs w:val="24"/>
        </w:rPr>
      </w:pPr>
      <w:r w:rsidRPr="00F20920">
        <w:rPr>
          <w:rFonts w:ascii="Verdana" w:hAnsi="Verdana"/>
          <w:sz w:val="24"/>
          <w:szCs w:val="24"/>
        </w:rPr>
        <w:t xml:space="preserve">16.5% live in consistent poverty, compared to the national average of 3.6%. </w:t>
      </w:r>
    </w:p>
    <w:p w14:paraId="149953B7" w14:textId="0A0D4554" w:rsidR="00C600B8" w:rsidRPr="00F20920" w:rsidRDefault="00C600B8" w:rsidP="00F20920">
      <w:pPr>
        <w:pStyle w:val="ListParagraph"/>
        <w:numPr>
          <w:ilvl w:val="0"/>
          <w:numId w:val="4"/>
        </w:numPr>
        <w:spacing w:line="276" w:lineRule="auto"/>
        <w:rPr>
          <w:rFonts w:ascii="Verdana" w:hAnsi="Verdana"/>
          <w:sz w:val="24"/>
          <w:szCs w:val="24"/>
        </w:rPr>
      </w:pPr>
      <w:r w:rsidRPr="00F20920">
        <w:rPr>
          <w:rFonts w:ascii="Verdana" w:hAnsi="Verdana"/>
          <w:sz w:val="24"/>
          <w:szCs w:val="24"/>
        </w:rPr>
        <w:t>44.7 % live in deprivation, unable to afford essentials like heating or new clothes</w:t>
      </w:r>
      <w:r w:rsidR="00F20920" w:rsidRPr="00F20920">
        <w:rPr>
          <w:rFonts w:ascii="Verdana" w:hAnsi="Verdana"/>
          <w:sz w:val="24"/>
          <w:szCs w:val="24"/>
        </w:rPr>
        <w:t xml:space="preserve"> - </w:t>
      </w:r>
      <w:r w:rsidR="00F20920" w:rsidRPr="00F20920">
        <w:rPr>
          <w:rFonts w:ascii="Verdana" w:eastAsia="Verdana" w:hAnsi="Verdana" w:cs="Verdana"/>
          <w:color w:val="000000" w:themeColor="text1"/>
          <w:sz w:val="24"/>
          <w:szCs w:val="24"/>
        </w:rPr>
        <w:t>compared to the national average of 17.3%.</w:t>
      </w:r>
      <w:r w:rsidR="00D435FD" w:rsidRPr="00F20920">
        <w:rPr>
          <w:rFonts w:ascii="Verdana" w:hAnsi="Verdana"/>
          <w:sz w:val="24"/>
          <w:szCs w:val="24"/>
        </w:rPr>
        <w:t xml:space="preserve"> </w:t>
      </w:r>
    </w:p>
    <w:p w14:paraId="592D4B13" w14:textId="3F360879" w:rsidR="00C600B8" w:rsidRPr="00F20920" w:rsidRDefault="00C600B8" w:rsidP="00C600B8">
      <w:pPr>
        <w:pStyle w:val="ListParagraph"/>
        <w:numPr>
          <w:ilvl w:val="0"/>
          <w:numId w:val="4"/>
        </w:numPr>
        <w:spacing w:line="276" w:lineRule="auto"/>
        <w:rPr>
          <w:rFonts w:ascii="Verdana" w:hAnsi="Verdana"/>
          <w:sz w:val="24"/>
          <w:szCs w:val="24"/>
        </w:rPr>
      </w:pPr>
      <w:r w:rsidRPr="00F20920">
        <w:rPr>
          <w:rFonts w:ascii="Verdana" w:hAnsi="Verdana"/>
          <w:sz w:val="24"/>
          <w:szCs w:val="24"/>
        </w:rPr>
        <w:t xml:space="preserve">27.3% </w:t>
      </w:r>
      <w:r w:rsidR="00CE5CB5">
        <w:rPr>
          <w:rFonts w:ascii="Verdana" w:hAnsi="Verdana"/>
          <w:sz w:val="24"/>
          <w:szCs w:val="24"/>
        </w:rPr>
        <w:t>are</w:t>
      </w:r>
      <w:r w:rsidRPr="00F20920">
        <w:rPr>
          <w:rFonts w:ascii="Verdana" w:hAnsi="Verdana"/>
          <w:sz w:val="24"/>
          <w:szCs w:val="24"/>
        </w:rPr>
        <w:t xml:space="preserve"> at risk of poverty, compared to 5.8% of employed people, and 8.8% of those who are retired.</w:t>
      </w:r>
    </w:p>
    <w:p w14:paraId="07840C82" w14:textId="67DCA4E3" w:rsidR="00A748D3" w:rsidRPr="00A94722" w:rsidRDefault="00C600B8" w:rsidP="00A94722">
      <w:pPr>
        <w:rPr>
          <w:rFonts w:ascii="Verdana" w:hAnsi="Verdana"/>
          <w:sz w:val="24"/>
          <w:szCs w:val="24"/>
        </w:rPr>
      </w:pPr>
      <w:r w:rsidRPr="005D083A">
        <w:rPr>
          <w:rFonts w:ascii="Verdana" w:hAnsi="Verdana"/>
          <w:sz w:val="24"/>
          <w:szCs w:val="24"/>
        </w:rPr>
        <w:t xml:space="preserve">It is notable that disabled people’s poverty rates are 2- 4 times the national average. In particular </w:t>
      </w:r>
      <w:r w:rsidRPr="000728CF">
        <w:rPr>
          <w:rFonts w:ascii="Verdana" w:hAnsi="Verdana"/>
          <w:b/>
          <w:bCs/>
          <w:sz w:val="24"/>
          <w:szCs w:val="24"/>
        </w:rPr>
        <w:t xml:space="preserve">the consistent poverty rates of people unable to work due to long-standing health problems </w:t>
      </w:r>
      <w:r w:rsidR="00CE5CB5">
        <w:rPr>
          <w:rFonts w:ascii="Verdana" w:hAnsi="Verdana"/>
          <w:b/>
          <w:bCs/>
          <w:sz w:val="24"/>
          <w:szCs w:val="24"/>
        </w:rPr>
        <w:t>last year were</w:t>
      </w:r>
      <w:r w:rsidRPr="000728CF">
        <w:rPr>
          <w:rFonts w:ascii="Verdana" w:hAnsi="Verdana"/>
          <w:b/>
          <w:bCs/>
          <w:sz w:val="24"/>
          <w:szCs w:val="24"/>
        </w:rPr>
        <w:t xml:space="preserve"> 4.5 times higher than the national average.</w:t>
      </w:r>
      <w:r w:rsidR="00EE7F7E">
        <w:rPr>
          <w:rFonts w:ascii="Verdana" w:hAnsi="Verdana"/>
          <w:b/>
          <w:bCs/>
          <w:sz w:val="24"/>
          <w:szCs w:val="24"/>
        </w:rPr>
        <w:t xml:space="preserve"> </w:t>
      </w:r>
      <w:r w:rsidR="00EE7F7E" w:rsidRPr="00EE7F7E">
        <w:rPr>
          <w:rFonts w:ascii="Verdana" w:hAnsi="Verdana"/>
          <w:sz w:val="24"/>
          <w:szCs w:val="24"/>
        </w:rPr>
        <w:t xml:space="preserve">Moreover the 2023 data show that </w:t>
      </w:r>
      <w:r w:rsidR="00EE7F7E" w:rsidRPr="00977EEE">
        <w:rPr>
          <w:rFonts w:ascii="Verdana" w:hAnsi="Verdana"/>
          <w:sz w:val="24"/>
          <w:szCs w:val="24"/>
        </w:rPr>
        <w:t>people unable to work due to long-standing health problem (disability)</w:t>
      </w:r>
      <w:r w:rsidR="00EE7F7E">
        <w:rPr>
          <w:rFonts w:ascii="Verdana" w:hAnsi="Verdana"/>
          <w:sz w:val="24"/>
          <w:szCs w:val="24"/>
        </w:rPr>
        <w:t xml:space="preserve"> have </w:t>
      </w:r>
      <w:r w:rsidR="00687C2D" w:rsidRPr="007E029F">
        <w:rPr>
          <w:rFonts w:ascii="Verdana" w:hAnsi="Verdana"/>
          <w:b/>
          <w:bCs/>
          <w:sz w:val="24"/>
          <w:szCs w:val="24"/>
        </w:rPr>
        <w:t>t</w:t>
      </w:r>
      <w:r w:rsidR="00A748D3" w:rsidRPr="007E029F">
        <w:rPr>
          <w:rFonts w:ascii="Verdana" w:eastAsia="Verdana" w:hAnsi="Verdana" w:cs="Verdana"/>
          <w:b/>
          <w:bCs/>
          <w:color w:val="000000" w:themeColor="text1"/>
          <w:sz w:val="24"/>
          <w:szCs w:val="24"/>
        </w:rPr>
        <w:t>he highest consistent poverty</w:t>
      </w:r>
      <w:r w:rsidR="00C95DDF" w:rsidRPr="007E029F">
        <w:rPr>
          <w:rFonts w:ascii="Verdana" w:eastAsia="Verdana" w:hAnsi="Verdana" w:cs="Verdana"/>
          <w:b/>
          <w:bCs/>
          <w:color w:val="000000" w:themeColor="text1"/>
          <w:sz w:val="24"/>
          <w:szCs w:val="24"/>
        </w:rPr>
        <w:t xml:space="preserve">, at risk of poverty and </w:t>
      </w:r>
      <w:r w:rsidR="00A84459" w:rsidRPr="007E029F">
        <w:rPr>
          <w:rFonts w:ascii="Verdana" w:eastAsia="Verdana" w:hAnsi="Verdana" w:cs="Verdana"/>
          <w:b/>
          <w:bCs/>
          <w:color w:val="000000" w:themeColor="text1"/>
          <w:sz w:val="24"/>
          <w:szCs w:val="24"/>
        </w:rPr>
        <w:t>deprivation</w:t>
      </w:r>
      <w:r w:rsidR="00A748D3" w:rsidRPr="007E029F">
        <w:rPr>
          <w:rFonts w:ascii="Verdana" w:eastAsia="Verdana" w:hAnsi="Verdana" w:cs="Verdana"/>
          <w:b/>
          <w:bCs/>
          <w:color w:val="000000" w:themeColor="text1"/>
          <w:sz w:val="24"/>
          <w:szCs w:val="24"/>
        </w:rPr>
        <w:t xml:space="preserve"> rates of all economic groupings.</w:t>
      </w:r>
      <w:r w:rsidR="00A748D3" w:rsidRPr="007E029F">
        <w:rPr>
          <w:rFonts w:ascii="Verdana" w:eastAsia="Verdana" w:hAnsi="Verdana" w:cs="Verdana"/>
          <w:b/>
          <w:bCs/>
          <w:color w:val="000000" w:themeColor="text1"/>
        </w:rPr>
        <w:t xml:space="preserve"> </w:t>
      </w:r>
    </w:p>
    <w:p w14:paraId="6FE0878D" w14:textId="232133C4" w:rsidR="00A748D3" w:rsidRPr="00825336" w:rsidRDefault="00A748D3" w:rsidP="00A748D3">
      <w:pPr>
        <w:pStyle w:val="NormalWeb"/>
        <w:spacing w:before="0" w:beforeAutospacing="0" w:after="0" w:afterAutospacing="0"/>
        <w:rPr>
          <w:rFonts w:ascii="Verdana" w:eastAsia="Verdana" w:hAnsi="Verdana" w:cs="Verdana"/>
          <w:color w:val="000000" w:themeColor="text1"/>
        </w:rPr>
      </w:pPr>
      <w:r w:rsidRPr="00825336">
        <w:rPr>
          <w:rFonts w:ascii="Verdana" w:eastAsia="Verdana" w:hAnsi="Verdana" w:cs="Verdana"/>
          <w:color w:val="000000" w:themeColor="text1"/>
        </w:rPr>
        <w:t xml:space="preserve">The data also show that people unable to </w:t>
      </w:r>
      <w:r w:rsidRPr="00825336">
        <w:rPr>
          <w:rFonts w:ascii="Verdana" w:hAnsi="Verdana"/>
        </w:rPr>
        <w:t xml:space="preserve">work due to long-standing health problems (disability) live with </w:t>
      </w:r>
      <w:r w:rsidR="00AB60FD">
        <w:rPr>
          <w:rFonts w:ascii="Verdana" w:hAnsi="Verdana"/>
        </w:rPr>
        <w:t>significant</w:t>
      </w:r>
      <w:r w:rsidRPr="00825336">
        <w:rPr>
          <w:rFonts w:ascii="Verdana" w:hAnsi="Verdana"/>
        </w:rPr>
        <w:t xml:space="preserve"> deprivation:</w:t>
      </w:r>
    </w:p>
    <w:p w14:paraId="13BD327F" w14:textId="77777777" w:rsidR="00A748D3" w:rsidRPr="00825336" w:rsidRDefault="00A748D3" w:rsidP="00A748D3">
      <w:pPr>
        <w:pStyle w:val="NormalWeb"/>
        <w:spacing w:before="0" w:beforeAutospacing="0" w:after="0" w:afterAutospacing="0"/>
        <w:rPr>
          <w:rFonts w:ascii="Verdana" w:eastAsia="Verdana" w:hAnsi="Verdana" w:cs="Verdana"/>
          <w:color w:val="000000" w:themeColor="text1"/>
        </w:rPr>
      </w:pPr>
    </w:p>
    <w:p w14:paraId="63CA61A8" w14:textId="4BCB9EB3" w:rsidR="00987BD0" w:rsidRPr="00E21DB3" w:rsidRDefault="00987BD0" w:rsidP="00987BD0">
      <w:pPr>
        <w:pStyle w:val="ListParagraph"/>
        <w:numPr>
          <w:ilvl w:val="0"/>
          <w:numId w:val="22"/>
        </w:numPr>
        <w:rPr>
          <w:rFonts w:ascii="Verdana" w:hAnsi="Verdana"/>
          <w:sz w:val="24"/>
          <w:szCs w:val="24"/>
        </w:rPr>
      </w:pPr>
      <w:r w:rsidRPr="00E21DB3">
        <w:rPr>
          <w:rFonts w:ascii="Verdana" w:hAnsi="Verdana"/>
          <w:sz w:val="24"/>
          <w:szCs w:val="24"/>
        </w:rPr>
        <w:t xml:space="preserve">16.1% </w:t>
      </w:r>
      <w:r>
        <w:rPr>
          <w:rFonts w:ascii="Verdana" w:hAnsi="Verdana"/>
          <w:sz w:val="24"/>
          <w:szCs w:val="24"/>
        </w:rPr>
        <w:t>are</w:t>
      </w:r>
      <w:r w:rsidRPr="00E21DB3">
        <w:rPr>
          <w:rFonts w:ascii="Verdana" w:hAnsi="Verdana"/>
          <w:sz w:val="24"/>
          <w:szCs w:val="24"/>
        </w:rPr>
        <w:t xml:space="preserve"> unable to afford to keep the home adequately warm, compared with 5% of employed people or 4.5% of retired persons. </w:t>
      </w:r>
    </w:p>
    <w:p w14:paraId="0CCE71B0" w14:textId="4C48C007" w:rsidR="001F3302" w:rsidRDefault="000F74D2" w:rsidP="00321401">
      <w:pPr>
        <w:pStyle w:val="ListParagraph"/>
        <w:numPr>
          <w:ilvl w:val="0"/>
          <w:numId w:val="22"/>
        </w:numPr>
        <w:rPr>
          <w:rFonts w:ascii="Verdana" w:eastAsia="Verdana" w:hAnsi="Verdana" w:cs="Verdana"/>
          <w:sz w:val="24"/>
          <w:szCs w:val="24"/>
        </w:rPr>
      </w:pPr>
      <w:r>
        <w:rPr>
          <w:rFonts w:ascii="Verdana" w:eastAsia="Verdana" w:hAnsi="Verdana" w:cs="Verdana"/>
          <w:sz w:val="24"/>
          <w:szCs w:val="24"/>
        </w:rPr>
        <w:t>17.9 % were u</w:t>
      </w:r>
      <w:r w:rsidR="00321401" w:rsidRPr="00321401">
        <w:rPr>
          <w:rFonts w:ascii="Verdana" w:eastAsia="Verdana" w:hAnsi="Verdana" w:cs="Verdana"/>
          <w:sz w:val="24"/>
          <w:szCs w:val="24"/>
        </w:rPr>
        <w:t>nable to afford</w:t>
      </w:r>
      <w:r w:rsidR="00321401">
        <w:rPr>
          <w:rFonts w:ascii="Verdana" w:eastAsia="Verdana" w:hAnsi="Verdana" w:cs="Verdana"/>
          <w:sz w:val="24"/>
          <w:szCs w:val="24"/>
        </w:rPr>
        <w:t xml:space="preserve"> </w:t>
      </w:r>
      <w:r w:rsidR="00321401" w:rsidRPr="00321401">
        <w:rPr>
          <w:rFonts w:ascii="Verdana" w:eastAsia="Verdana" w:hAnsi="Verdana" w:cs="Verdana"/>
          <w:sz w:val="24"/>
          <w:szCs w:val="24"/>
        </w:rPr>
        <w:t>a roast once a week</w:t>
      </w:r>
      <w:r>
        <w:rPr>
          <w:rFonts w:ascii="Verdana" w:eastAsia="Verdana" w:hAnsi="Verdana" w:cs="Verdana"/>
          <w:sz w:val="24"/>
          <w:szCs w:val="24"/>
        </w:rPr>
        <w:t>, compared to a national average of 4.2%</w:t>
      </w:r>
      <w:r w:rsidR="00AA417B">
        <w:rPr>
          <w:rFonts w:ascii="Verdana" w:eastAsia="Verdana" w:hAnsi="Verdana" w:cs="Verdana"/>
          <w:sz w:val="24"/>
          <w:szCs w:val="24"/>
        </w:rPr>
        <w:t>.</w:t>
      </w:r>
    </w:p>
    <w:p w14:paraId="4FC6CF61" w14:textId="7D5BF812" w:rsidR="000F74D2" w:rsidRPr="00321401" w:rsidRDefault="00EB6366" w:rsidP="00321401">
      <w:pPr>
        <w:pStyle w:val="ListParagraph"/>
        <w:numPr>
          <w:ilvl w:val="0"/>
          <w:numId w:val="22"/>
        </w:numPr>
        <w:rPr>
          <w:rFonts w:ascii="Verdana" w:eastAsia="Verdana" w:hAnsi="Verdana" w:cs="Verdana"/>
          <w:sz w:val="24"/>
          <w:szCs w:val="24"/>
        </w:rPr>
      </w:pPr>
      <w:r>
        <w:rPr>
          <w:rFonts w:ascii="Verdana" w:eastAsia="Verdana" w:hAnsi="Verdana" w:cs="Verdana"/>
          <w:sz w:val="24"/>
          <w:szCs w:val="24"/>
        </w:rPr>
        <w:t xml:space="preserve">35% </w:t>
      </w:r>
      <w:r w:rsidR="0027295B" w:rsidRPr="0027295B">
        <w:rPr>
          <w:rFonts w:ascii="Verdana" w:eastAsia="Verdana" w:hAnsi="Verdana" w:cs="Verdana"/>
          <w:sz w:val="24"/>
          <w:szCs w:val="24"/>
        </w:rPr>
        <w:t>could not afford to get-together with family or friends for a drink or meal once a month</w:t>
      </w:r>
      <w:r>
        <w:rPr>
          <w:rFonts w:ascii="Verdana" w:eastAsia="Verdana" w:hAnsi="Verdana" w:cs="Verdana"/>
          <w:sz w:val="24"/>
          <w:szCs w:val="24"/>
        </w:rPr>
        <w:t xml:space="preserve">, compared to a national average of </w:t>
      </w:r>
      <w:r w:rsidR="00AA417B">
        <w:rPr>
          <w:rFonts w:ascii="Verdana" w:eastAsia="Verdana" w:hAnsi="Verdana" w:cs="Verdana"/>
          <w:sz w:val="24"/>
          <w:szCs w:val="24"/>
        </w:rPr>
        <w:t>12.3%.</w:t>
      </w:r>
    </w:p>
    <w:p w14:paraId="479F4C5E" w14:textId="29CC61AF" w:rsidR="00775460" w:rsidRPr="00F43EA7" w:rsidRDefault="00A748D3" w:rsidP="00676E33">
      <w:pPr>
        <w:rPr>
          <w:rFonts w:ascii="Verdana" w:hAnsi="Verdana"/>
          <w:b/>
          <w:bCs/>
          <w:sz w:val="24"/>
          <w:szCs w:val="24"/>
        </w:rPr>
      </w:pPr>
      <w:r w:rsidRPr="00F43EA7">
        <w:rPr>
          <w:rFonts w:ascii="Verdana" w:hAnsi="Verdana"/>
          <w:b/>
          <w:bCs/>
          <w:sz w:val="24"/>
          <w:szCs w:val="24"/>
        </w:rPr>
        <w:t xml:space="preserve">It paints a very poor picture of modern Ireland that people who cannot work because of their disability or health condition are not eating properly and cutting back on essential heating due to a lack of sufficient income. </w:t>
      </w:r>
      <w:r w:rsidR="00A332F3" w:rsidRPr="00F43EA7">
        <w:rPr>
          <w:rFonts w:ascii="Verdana" w:hAnsi="Verdana"/>
          <w:b/>
          <w:bCs/>
          <w:sz w:val="24"/>
          <w:szCs w:val="24"/>
        </w:rPr>
        <w:t xml:space="preserve">This shows the </w:t>
      </w:r>
      <w:r w:rsidR="003B339B" w:rsidRPr="00F43EA7">
        <w:rPr>
          <w:rFonts w:ascii="Verdana" w:hAnsi="Verdana"/>
          <w:b/>
          <w:bCs/>
          <w:sz w:val="24"/>
          <w:szCs w:val="24"/>
        </w:rPr>
        <w:t xml:space="preserve">extent to which our current social protection supports for disabled people unable to work </w:t>
      </w:r>
      <w:r w:rsidR="005E3D35" w:rsidRPr="00F43EA7">
        <w:rPr>
          <w:rFonts w:ascii="Verdana" w:hAnsi="Verdana"/>
          <w:b/>
          <w:bCs/>
          <w:sz w:val="24"/>
          <w:szCs w:val="24"/>
        </w:rPr>
        <w:t>are insufficient and inadequate.</w:t>
      </w:r>
    </w:p>
    <w:p w14:paraId="4D84B84C" w14:textId="25DF1709" w:rsidR="00B36154" w:rsidRPr="00B36154" w:rsidRDefault="00806BF1" w:rsidP="00B36154">
      <w:pPr>
        <w:rPr>
          <w:rFonts w:ascii="Verdana" w:hAnsi="Verdana"/>
          <w:sz w:val="24"/>
          <w:szCs w:val="24"/>
        </w:rPr>
      </w:pPr>
      <w:r w:rsidRPr="00284C25">
        <w:rPr>
          <w:rFonts w:ascii="Verdana" w:hAnsi="Verdana"/>
          <w:sz w:val="24"/>
          <w:szCs w:val="24"/>
        </w:rPr>
        <w:t>SILC data also show that “two in five of those unable to work due to long-standing health problems (42.3%) are in the first equivalised disposable income quintile (i.e. the lowest 20% of the net disposable equivalised income distribution). This compares with one in ten (10.8%) of those that are employed.”</w:t>
      </w:r>
      <w:r w:rsidR="00034E65" w:rsidRPr="00284C25">
        <w:rPr>
          <w:rStyle w:val="FootnoteReference"/>
          <w:rFonts w:ascii="Verdana" w:hAnsi="Verdana"/>
          <w:sz w:val="24"/>
          <w:szCs w:val="24"/>
        </w:rPr>
        <w:footnoteReference w:id="7"/>
      </w:r>
      <w:r w:rsidR="00C454C7">
        <w:rPr>
          <w:rFonts w:ascii="Verdana" w:hAnsi="Verdana"/>
          <w:sz w:val="24"/>
          <w:szCs w:val="24"/>
        </w:rPr>
        <w:t xml:space="preserve">Furthermore, </w:t>
      </w:r>
      <w:r w:rsidR="00E62005">
        <w:rPr>
          <w:rFonts w:ascii="Verdana" w:hAnsi="Verdana"/>
          <w:sz w:val="24"/>
          <w:szCs w:val="24"/>
        </w:rPr>
        <w:t>the 2023</w:t>
      </w:r>
      <w:r w:rsidR="00652EA2">
        <w:rPr>
          <w:rFonts w:ascii="Verdana" w:hAnsi="Verdana"/>
          <w:sz w:val="24"/>
          <w:szCs w:val="24"/>
        </w:rPr>
        <w:t xml:space="preserve"> </w:t>
      </w:r>
      <w:r w:rsidR="00C454C7">
        <w:rPr>
          <w:rFonts w:ascii="Verdana" w:hAnsi="Verdana"/>
          <w:sz w:val="24"/>
          <w:szCs w:val="24"/>
        </w:rPr>
        <w:t xml:space="preserve">release on </w:t>
      </w:r>
      <w:r w:rsidR="00962C5D">
        <w:rPr>
          <w:rFonts w:ascii="Verdana" w:hAnsi="Verdana"/>
          <w:sz w:val="24"/>
          <w:szCs w:val="24"/>
        </w:rPr>
        <w:t>“</w:t>
      </w:r>
      <w:r w:rsidR="00962C5D" w:rsidRPr="00962C5D">
        <w:rPr>
          <w:rFonts w:ascii="Verdana" w:hAnsi="Verdana"/>
          <w:sz w:val="24"/>
          <w:szCs w:val="24"/>
        </w:rPr>
        <w:t>Poverty Indicators by Health Status</w:t>
      </w:r>
      <w:r w:rsidR="00962C5D">
        <w:rPr>
          <w:rFonts w:ascii="Verdana" w:hAnsi="Verdana"/>
          <w:sz w:val="24"/>
          <w:szCs w:val="24"/>
        </w:rPr>
        <w:t>”</w:t>
      </w:r>
      <w:r w:rsidR="00A2422C">
        <w:rPr>
          <w:rStyle w:val="FootnoteReference"/>
          <w:rFonts w:ascii="Verdana" w:hAnsi="Verdana"/>
          <w:sz w:val="24"/>
          <w:szCs w:val="24"/>
        </w:rPr>
        <w:footnoteReference w:id="8"/>
      </w:r>
      <w:r w:rsidR="00962C5D">
        <w:rPr>
          <w:rFonts w:ascii="Verdana" w:hAnsi="Verdana"/>
          <w:sz w:val="24"/>
          <w:szCs w:val="24"/>
        </w:rPr>
        <w:t xml:space="preserve"> </w:t>
      </w:r>
      <w:r w:rsidR="00962C5D" w:rsidRPr="00E51844">
        <w:rPr>
          <w:rFonts w:ascii="Verdana" w:hAnsi="Verdana"/>
          <w:sz w:val="24"/>
          <w:szCs w:val="24"/>
        </w:rPr>
        <w:t xml:space="preserve">shows stark </w:t>
      </w:r>
      <w:r w:rsidR="00B6640C" w:rsidRPr="00E51844">
        <w:rPr>
          <w:rFonts w:ascii="Verdana" w:hAnsi="Verdana"/>
          <w:sz w:val="24"/>
          <w:szCs w:val="24"/>
        </w:rPr>
        <w:t xml:space="preserve">evidence about the economic </w:t>
      </w:r>
      <w:r w:rsidR="00D522B6">
        <w:rPr>
          <w:rFonts w:ascii="Verdana" w:hAnsi="Verdana"/>
          <w:sz w:val="24"/>
          <w:szCs w:val="24"/>
        </w:rPr>
        <w:t>challenges</w:t>
      </w:r>
      <w:r w:rsidR="00B6640C" w:rsidRPr="00E51844">
        <w:rPr>
          <w:rFonts w:ascii="Verdana" w:hAnsi="Verdana"/>
          <w:sz w:val="24"/>
          <w:szCs w:val="24"/>
        </w:rPr>
        <w:t xml:space="preserve"> </w:t>
      </w:r>
      <w:r w:rsidR="00B6640C" w:rsidRPr="00E51844">
        <w:rPr>
          <w:rFonts w:ascii="Verdana" w:hAnsi="Verdana"/>
          <w:sz w:val="24"/>
          <w:szCs w:val="24"/>
        </w:rPr>
        <w:lastRenderedPageBreak/>
        <w:t>experienced in households</w:t>
      </w:r>
      <w:r w:rsidR="00962C5D" w:rsidRPr="00E51844">
        <w:rPr>
          <w:rFonts w:ascii="Verdana" w:hAnsi="Verdana"/>
          <w:sz w:val="24"/>
          <w:szCs w:val="24"/>
        </w:rPr>
        <w:t xml:space="preserve"> </w:t>
      </w:r>
      <w:r w:rsidR="00B6640C" w:rsidRPr="00E51844">
        <w:rPr>
          <w:rFonts w:ascii="Verdana" w:hAnsi="Verdana"/>
          <w:sz w:val="24"/>
          <w:szCs w:val="24"/>
        </w:rPr>
        <w:t xml:space="preserve">with a member who </w:t>
      </w:r>
      <w:r w:rsidR="0044092F">
        <w:rPr>
          <w:rFonts w:ascii="Verdana" w:hAnsi="Verdana"/>
          <w:sz w:val="24"/>
          <w:szCs w:val="24"/>
        </w:rPr>
        <w:t>is</w:t>
      </w:r>
      <w:r w:rsidR="00A2422C" w:rsidRPr="00E51844">
        <w:rPr>
          <w:rFonts w:ascii="Verdana" w:hAnsi="Verdana"/>
          <w:sz w:val="24"/>
          <w:szCs w:val="24"/>
        </w:rPr>
        <w:t xml:space="preserve"> severely limited in usual activities because of a health problem, including</w:t>
      </w:r>
      <w:r w:rsidR="0044092F">
        <w:rPr>
          <w:rFonts w:ascii="Verdana" w:hAnsi="Verdana"/>
          <w:sz w:val="24"/>
          <w:szCs w:val="24"/>
        </w:rPr>
        <w:t xml:space="preserve"> the fact that</w:t>
      </w:r>
      <w:r w:rsidR="00E51844">
        <w:rPr>
          <w:rFonts w:ascii="Verdana" w:hAnsi="Verdana"/>
          <w:sz w:val="24"/>
          <w:szCs w:val="24"/>
        </w:rPr>
        <w:t>:</w:t>
      </w:r>
    </w:p>
    <w:p w14:paraId="7E7D5118" w14:textId="1F32D4E0" w:rsidR="00B36154" w:rsidRPr="0001292B" w:rsidRDefault="0001292B" w:rsidP="0001292B">
      <w:pPr>
        <w:pStyle w:val="ListParagraph"/>
        <w:numPr>
          <w:ilvl w:val="0"/>
          <w:numId w:val="25"/>
        </w:numPr>
        <w:rPr>
          <w:rFonts w:ascii="Verdana" w:hAnsi="Verdana"/>
          <w:sz w:val="24"/>
          <w:szCs w:val="24"/>
        </w:rPr>
      </w:pPr>
      <w:r>
        <w:rPr>
          <w:rFonts w:ascii="Verdana" w:hAnsi="Verdana"/>
          <w:sz w:val="24"/>
          <w:szCs w:val="24"/>
        </w:rPr>
        <w:t>15.3</w:t>
      </w:r>
      <w:r w:rsidR="00B36154" w:rsidRPr="00B36154">
        <w:rPr>
          <w:rFonts w:ascii="Verdana" w:hAnsi="Verdana"/>
          <w:sz w:val="24"/>
          <w:szCs w:val="24"/>
        </w:rPr>
        <w:t>%</w:t>
      </w:r>
      <w:r>
        <w:rPr>
          <w:rFonts w:ascii="Verdana" w:hAnsi="Verdana"/>
          <w:sz w:val="24"/>
          <w:szCs w:val="24"/>
        </w:rPr>
        <w:t xml:space="preserve"> of </w:t>
      </w:r>
      <w:r w:rsidR="00B6640C">
        <w:rPr>
          <w:rFonts w:ascii="Verdana" w:hAnsi="Verdana"/>
          <w:sz w:val="24"/>
          <w:szCs w:val="24"/>
        </w:rPr>
        <w:t xml:space="preserve">these </w:t>
      </w:r>
      <w:r w:rsidR="00B36154" w:rsidRPr="0001292B">
        <w:rPr>
          <w:rFonts w:ascii="Verdana" w:hAnsi="Verdana"/>
          <w:sz w:val="24"/>
          <w:szCs w:val="24"/>
        </w:rPr>
        <w:t>households reported fail</w:t>
      </w:r>
      <w:r w:rsidR="00732520" w:rsidRPr="0001292B">
        <w:rPr>
          <w:rFonts w:ascii="Verdana" w:hAnsi="Verdana"/>
          <w:sz w:val="24"/>
          <w:szCs w:val="24"/>
        </w:rPr>
        <w:t>ing</w:t>
      </w:r>
      <w:r w:rsidR="00B36154" w:rsidRPr="0001292B">
        <w:rPr>
          <w:rFonts w:ascii="Verdana" w:hAnsi="Verdana"/>
          <w:sz w:val="24"/>
          <w:szCs w:val="24"/>
        </w:rPr>
        <w:t xml:space="preserve"> to pay a utility bill on time due to financial difficulties</w:t>
      </w:r>
      <w:r w:rsidR="00067638" w:rsidRPr="0001292B">
        <w:rPr>
          <w:rFonts w:ascii="Verdana" w:hAnsi="Verdana"/>
          <w:sz w:val="24"/>
          <w:szCs w:val="24"/>
        </w:rPr>
        <w:t xml:space="preserve"> at least once in the past 12 months</w:t>
      </w:r>
      <w:r w:rsidR="00B36154" w:rsidRPr="0001292B">
        <w:rPr>
          <w:rFonts w:ascii="Verdana" w:hAnsi="Verdana"/>
          <w:sz w:val="24"/>
          <w:szCs w:val="24"/>
        </w:rPr>
        <w:t xml:space="preserve">, compared with </w:t>
      </w:r>
      <w:r w:rsidR="00E62005">
        <w:rPr>
          <w:rFonts w:ascii="Verdana" w:hAnsi="Verdana"/>
          <w:sz w:val="24"/>
          <w:szCs w:val="24"/>
        </w:rPr>
        <w:t>4</w:t>
      </w:r>
      <w:r w:rsidR="00B36154" w:rsidRPr="0001292B">
        <w:rPr>
          <w:rFonts w:ascii="Verdana" w:hAnsi="Verdana"/>
          <w:sz w:val="24"/>
          <w:szCs w:val="24"/>
        </w:rPr>
        <w:t>.</w:t>
      </w:r>
      <w:r w:rsidR="00E62005">
        <w:rPr>
          <w:rFonts w:ascii="Verdana" w:hAnsi="Verdana"/>
          <w:sz w:val="24"/>
          <w:szCs w:val="24"/>
        </w:rPr>
        <w:t>8</w:t>
      </w:r>
      <w:r w:rsidR="00B36154" w:rsidRPr="0001292B">
        <w:rPr>
          <w:rFonts w:ascii="Verdana" w:hAnsi="Verdana"/>
          <w:sz w:val="24"/>
          <w:szCs w:val="24"/>
        </w:rPr>
        <w:t xml:space="preserve">% of households </w:t>
      </w:r>
      <w:r w:rsidR="00A3485F" w:rsidRPr="0001292B">
        <w:rPr>
          <w:rFonts w:ascii="Verdana" w:hAnsi="Verdana"/>
          <w:sz w:val="24"/>
          <w:szCs w:val="24"/>
        </w:rPr>
        <w:t>without activity limitation.</w:t>
      </w:r>
    </w:p>
    <w:p w14:paraId="2EDD86C0" w14:textId="77777777" w:rsidR="00096858" w:rsidRDefault="00D414E6" w:rsidP="00C32039">
      <w:pPr>
        <w:pStyle w:val="ListParagraph"/>
        <w:numPr>
          <w:ilvl w:val="0"/>
          <w:numId w:val="25"/>
        </w:numPr>
        <w:rPr>
          <w:rFonts w:ascii="Verdana" w:hAnsi="Verdana"/>
          <w:sz w:val="24"/>
          <w:szCs w:val="24"/>
        </w:rPr>
      </w:pPr>
      <w:r w:rsidRPr="00634224">
        <w:rPr>
          <w:rFonts w:ascii="Verdana" w:hAnsi="Verdana"/>
          <w:sz w:val="24"/>
          <w:szCs w:val="24"/>
        </w:rPr>
        <w:t>19.9% of households had ‘great difficulty’ making ends meet</w:t>
      </w:r>
      <w:r w:rsidR="00634224">
        <w:rPr>
          <w:rFonts w:ascii="Verdana" w:hAnsi="Verdana"/>
          <w:sz w:val="24"/>
          <w:szCs w:val="24"/>
        </w:rPr>
        <w:t xml:space="preserve">, as compared to </w:t>
      </w:r>
      <w:r w:rsidR="00C32039">
        <w:rPr>
          <w:rFonts w:ascii="Verdana" w:hAnsi="Verdana"/>
          <w:sz w:val="24"/>
          <w:szCs w:val="24"/>
        </w:rPr>
        <w:t>3.7% of households without activity limitation.</w:t>
      </w:r>
    </w:p>
    <w:p w14:paraId="62691E14" w14:textId="715740A8" w:rsidR="00D23986" w:rsidRPr="00E508BE" w:rsidRDefault="00096858" w:rsidP="00915FB6">
      <w:pPr>
        <w:rPr>
          <w:rFonts w:ascii="Verdana" w:hAnsi="Verdana"/>
          <w:sz w:val="24"/>
          <w:szCs w:val="24"/>
        </w:rPr>
      </w:pPr>
      <w:proofErr w:type="gramStart"/>
      <w:r w:rsidRPr="00096858">
        <w:rPr>
          <w:rFonts w:ascii="Verdana" w:hAnsi="Verdana"/>
          <w:sz w:val="24"/>
          <w:szCs w:val="24"/>
        </w:rPr>
        <w:t>Finally</w:t>
      </w:r>
      <w:proofErr w:type="gramEnd"/>
      <w:r>
        <w:rPr>
          <w:rFonts w:ascii="Verdana" w:hAnsi="Verdana"/>
          <w:b/>
          <w:bCs/>
          <w:sz w:val="24"/>
          <w:szCs w:val="24"/>
        </w:rPr>
        <w:t xml:space="preserve"> </w:t>
      </w:r>
      <w:r w:rsidR="008566B8">
        <w:rPr>
          <w:rFonts w:ascii="Verdana" w:hAnsi="Verdana"/>
          <w:sz w:val="24"/>
          <w:szCs w:val="24"/>
        </w:rPr>
        <w:t>a</w:t>
      </w:r>
      <w:r w:rsidR="00901E14">
        <w:rPr>
          <w:rFonts w:ascii="Verdana" w:hAnsi="Verdana"/>
          <w:sz w:val="24"/>
          <w:szCs w:val="24"/>
        </w:rPr>
        <w:t xml:space="preserve"> recently published </w:t>
      </w:r>
      <w:r w:rsidR="00B12FF3">
        <w:rPr>
          <w:rFonts w:ascii="Verdana" w:hAnsi="Verdana"/>
          <w:sz w:val="24"/>
          <w:szCs w:val="24"/>
        </w:rPr>
        <w:t xml:space="preserve">CSO SILC </w:t>
      </w:r>
      <w:r w:rsidR="00E9469F">
        <w:rPr>
          <w:rFonts w:ascii="Verdana" w:hAnsi="Verdana"/>
          <w:sz w:val="24"/>
          <w:szCs w:val="24"/>
        </w:rPr>
        <w:t xml:space="preserve">2023 </w:t>
      </w:r>
      <w:r w:rsidR="00901E14">
        <w:rPr>
          <w:rFonts w:ascii="Verdana" w:hAnsi="Verdana"/>
          <w:sz w:val="24"/>
          <w:szCs w:val="24"/>
        </w:rPr>
        <w:t xml:space="preserve">module on </w:t>
      </w:r>
      <w:r w:rsidR="00B12FF3">
        <w:rPr>
          <w:rFonts w:ascii="Verdana" w:hAnsi="Verdana"/>
          <w:sz w:val="24"/>
          <w:szCs w:val="24"/>
        </w:rPr>
        <w:t>‘</w:t>
      </w:r>
      <w:r w:rsidR="00901E14">
        <w:rPr>
          <w:rFonts w:ascii="Verdana" w:hAnsi="Verdana"/>
          <w:sz w:val="24"/>
          <w:szCs w:val="24"/>
        </w:rPr>
        <w:t>Well</w:t>
      </w:r>
      <w:r w:rsidR="00B12FF3">
        <w:rPr>
          <w:rFonts w:ascii="Verdana" w:hAnsi="Verdana"/>
          <w:sz w:val="24"/>
          <w:szCs w:val="24"/>
        </w:rPr>
        <w:t>-</w:t>
      </w:r>
      <w:r w:rsidR="00E9469F">
        <w:rPr>
          <w:rFonts w:ascii="Verdana" w:hAnsi="Verdana"/>
          <w:sz w:val="24"/>
          <w:szCs w:val="24"/>
        </w:rPr>
        <w:t>being’</w:t>
      </w:r>
      <w:r w:rsidR="009D316F">
        <w:rPr>
          <w:rFonts w:ascii="Verdana" w:hAnsi="Verdana"/>
          <w:sz w:val="24"/>
          <w:szCs w:val="24"/>
        </w:rPr>
        <w:t xml:space="preserve"> </w:t>
      </w:r>
      <w:r w:rsidR="009D316F" w:rsidRPr="66DB40DC">
        <w:rPr>
          <w:rFonts w:ascii="Verdana" w:hAnsi="Verdana"/>
          <w:sz w:val="24"/>
          <w:szCs w:val="24"/>
        </w:rPr>
        <w:t xml:space="preserve">evidences the </w:t>
      </w:r>
      <w:r w:rsidR="009D316F">
        <w:rPr>
          <w:rFonts w:ascii="Verdana" w:hAnsi="Verdana"/>
          <w:sz w:val="24"/>
          <w:szCs w:val="24"/>
        </w:rPr>
        <w:t xml:space="preserve">lower levels of </w:t>
      </w:r>
      <w:r w:rsidR="009D316F" w:rsidRPr="66DB40DC">
        <w:rPr>
          <w:rFonts w:ascii="Verdana" w:hAnsi="Verdana"/>
          <w:sz w:val="24"/>
          <w:szCs w:val="24"/>
        </w:rPr>
        <w:t xml:space="preserve">well-being </w:t>
      </w:r>
      <w:r w:rsidR="009D316F">
        <w:rPr>
          <w:rFonts w:ascii="Verdana" w:hAnsi="Verdana"/>
          <w:sz w:val="24"/>
          <w:szCs w:val="24"/>
        </w:rPr>
        <w:t>experienced</w:t>
      </w:r>
      <w:r w:rsidR="00E508BE">
        <w:rPr>
          <w:rFonts w:ascii="Verdana" w:hAnsi="Verdana"/>
          <w:sz w:val="24"/>
          <w:szCs w:val="24"/>
        </w:rPr>
        <w:t xml:space="preserve"> by</w:t>
      </w:r>
      <w:r w:rsidR="009D316F" w:rsidRPr="66DB40DC">
        <w:rPr>
          <w:rFonts w:ascii="Verdana" w:hAnsi="Verdana"/>
          <w:sz w:val="24"/>
          <w:szCs w:val="24"/>
        </w:rPr>
        <w:t xml:space="preserve"> those unable to work due to a long-standing </w:t>
      </w:r>
      <w:r w:rsidR="00BC0FEA">
        <w:rPr>
          <w:rFonts w:ascii="Verdana" w:hAnsi="Verdana"/>
          <w:sz w:val="24"/>
          <w:szCs w:val="24"/>
        </w:rPr>
        <w:t>health problem, and the fact that o</w:t>
      </w:r>
      <w:r w:rsidR="009D316F" w:rsidRPr="66DB40DC">
        <w:rPr>
          <w:rFonts w:ascii="Verdana" w:hAnsi="Verdana"/>
          <w:sz w:val="24"/>
          <w:szCs w:val="24"/>
        </w:rPr>
        <w:t>ver half (56.5%) reported low satisfaction with the</w:t>
      </w:r>
      <w:r w:rsidR="006F0097">
        <w:rPr>
          <w:rFonts w:ascii="Verdana" w:hAnsi="Verdana"/>
          <w:sz w:val="24"/>
          <w:szCs w:val="24"/>
        </w:rPr>
        <w:t>ir household’s</w:t>
      </w:r>
      <w:r w:rsidR="009D316F" w:rsidRPr="66DB40DC">
        <w:rPr>
          <w:rFonts w:ascii="Verdana" w:hAnsi="Verdana"/>
          <w:sz w:val="24"/>
          <w:szCs w:val="24"/>
        </w:rPr>
        <w:t xml:space="preserve"> financial situation, compared to the national average (34.22%)</w:t>
      </w:r>
      <w:r w:rsidR="009D316F">
        <w:rPr>
          <w:rFonts w:ascii="Verdana" w:hAnsi="Verdana"/>
          <w:sz w:val="24"/>
          <w:szCs w:val="24"/>
        </w:rPr>
        <w:t>.</w:t>
      </w:r>
      <w:r w:rsidR="009D316F">
        <w:rPr>
          <w:rStyle w:val="FootnoteReference"/>
          <w:rFonts w:ascii="Verdana" w:hAnsi="Verdana"/>
          <w:sz w:val="24"/>
          <w:szCs w:val="24"/>
        </w:rPr>
        <w:footnoteReference w:id="9"/>
      </w:r>
    </w:p>
    <w:p w14:paraId="59641947" w14:textId="77777777" w:rsidR="00B43C1A" w:rsidRPr="00F5696B" w:rsidRDefault="00B43C1A" w:rsidP="00F5696B">
      <w:pPr>
        <w:pStyle w:val="Heading1"/>
        <w:rPr>
          <w:sz w:val="24"/>
          <w:szCs w:val="24"/>
        </w:rPr>
      </w:pPr>
      <w:bookmarkStart w:id="6" w:name="_Toc171069198"/>
      <w:r w:rsidRPr="00F5696B">
        <w:rPr>
          <w:sz w:val="24"/>
          <w:szCs w:val="24"/>
        </w:rPr>
        <w:t>Government Commitments on Poverty and Disability</w:t>
      </w:r>
      <w:bookmarkEnd w:id="6"/>
    </w:p>
    <w:p w14:paraId="702AADC1" w14:textId="5A640B19" w:rsidR="00B43C1A" w:rsidRPr="006D1E6F" w:rsidRDefault="00B43C1A" w:rsidP="00B43C1A">
      <w:pPr>
        <w:rPr>
          <w:rFonts w:ascii="Verdana" w:hAnsi="Verdana"/>
          <w:sz w:val="24"/>
          <w:szCs w:val="24"/>
        </w:rPr>
      </w:pPr>
      <w:r w:rsidRPr="006D1E6F">
        <w:rPr>
          <w:rFonts w:ascii="Verdana" w:hAnsi="Verdana"/>
          <w:sz w:val="24"/>
          <w:szCs w:val="24"/>
        </w:rPr>
        <w:t xml:space="preserve">The </w:t>
      </w:r>
      <w:r w:rsidRPr="000170F0">
        <w:rPr>
          <w:rFonts w:ascii="Verdana" w:hAnsi="Verdana"/>
          <w:i/>
          <w:iCs/>
          <w:sz w:val="24"/>
          <w:szCs w:val="24"/>
        </w:rPr>
        <w:t>Programme for Government</w:t>
      </w:r>
      <w:r w:rsidRPr="006D1E6F">
        <w:rPr>
          <w:rFonts w:ascii="Verdana" w:hAnsi="Verdana"/>
          <w:sz w:val="24"/>
          <w:szCs w:val="24"/>
        </w:rPr>
        <w:t xml:space="preserve"> promised that “</w:t>
      </w:r>
      <w:r w:rsidR="007C583E">
        <w:rPr>
          <w:rFonts w:ascii="Verdana" w:hAnsi="Verdana"/>
          <w:sz w:val="24"/>
          <w:szCs w:val="24"/>
        </w:rPr>
        <w:t>p</w:t>
      </w:r>
      <w:r w:rsidRPr="006D1E6F">
        <w:rPr>
          <w:rFonts w:ascii="Verdana" w:hAnsi="Verdana"/>
          <w:sz w:val="24"/>
          <w:szCs w:val="24"/>
        </w:rPr>
        <w:t>olicy decisions throughout the course of the Government will consistently seek to improve living standards for the most vulnerable in society</w:t>
      </w:r>
      <w:r w:rsidR="002124A3">
        <w:rPr>
          <w:rFonts w:ascii="Verdana" w:hAnsi="Verdana"/>
          <w:sz w:val="24"/>
          <w:szCs w:val="24"/>
        </w:rPr>
        <w:t>.</w:t>
      </w:r>
      <w:r w:rsidRPr="006D1E6F">
        <w:rPr>
          <w:rFonts w:ascii="Verdana" w:hAnsi="Verdana"/>
          <w:sz w:val="24"/>
          <w:szCs w:val="24"/>
        </w:rPr>
        <w:t>” It also state</w:t>
      </w:r>
      <w:r>
        <w:rPr>
          <w:rFonts w:ascii="Verdana" w:hAnsi="Verdana"/>
          <w:sz w:val="24"/>
          <w:szCs w:val="24"/>
        </w:rPr>
        <w:t xml:space="preserve">d: </w:t>
      </w:r>
      <w:r w:rsidRPr="006D1E6F">
        <w:rPr>
          <w:rFonts w:ascii="Verdana" w:hAnsi="Verdana"/>
          <w:sz w:val="24"/>
          <w:szCs w:val="24"/>
        </w:rPr>
        <w:t>“</w:t>
      </w:r>
      <w:r w:rsidRPr="00A83383">
        <w:rPr>
          <w:rFonts w:ascii="Verdana" w:hAnsi="Verdana"/>
          <w:b/>
          <w:bCs/>
          <w:sz w:val="24"/>
          <w:szCs w:val="24"/>
        </w:rPr>
        <w:t>we mus</w:t>
      </w:r>
      <w:r w:rsidR="0091772B" w:rsidRPr="00A83383">
        <w:rPr>
          <w:rFonts w:ascii="Verdana" w:hAnsi="Verdana"/>
          <w:b/>
          <w:bCs/>
          <w:sz w:val="24"/>
          <w:szCs w:val="24"/>
        </w:rPr>
        <w:t>t i</w:t>
      </w:r>
      <w:r w:rsidRPr="00A83383">
        <w:rPr>
          <w:rFonts w:ascii="Verdana" w:hAnsi="Verdana"/>
          <w:b/>
          <w:bCs/>
          <w:sz w:val="24"/>
          <w:szCs w:val="24"/>
        </w:rPr>
        <w:t>mprove outcomes for those who are struggling on low incomes, struggling with caring responsibilities, having to raise their families alone, or living with a disability</w:t>
      </w:r>
      <w:r>
        <w:rPr>
          <w:rFonts w:ascii="Verdana" w:hAnsi="Verdana"/>
          <w:sz w:val="24"/>
          <w:szCs w:val="24"/>
        </w:rPr>
        <w:t>.”</w:t>
      </w:r>
      <w:r>
        <w:rPr>
          <w:rStyle w:val="FootnoteReference"/>
          <w:rFonts w:ascii="Verdana" w:hAnsi="Verdana"/>
          <w:sz w:val="24"/>
          <w:szCs w:val="24"/>
        </w:rPr>
        <w:footnoteReference w:id="10"/>
      </w:r>
      <w:r w:rsidRPr="006D1E6F">
        <w:rPr>
          <w:rFonts w:ascii="Verdana" w:hAnsi="Verdana"/>
          <w:sz w:val="24"/>
          <w:szCs w:val="24"/>
        </w:rPr>
        <w:t xml:space="preserve"> </w:t>
      </w:r>
    </w:p>
    <w:p w14:paraId="252B491D" w14:textId="368AA466" w:rsidR="00B43C1A" w:rsidRDefault="00B43C1A" w:rsidP="00B43C1A">
      <w:pPr>
        <w:rPr>
          <w:rFonts w:ascii="Verdana" w:hAnsi="Verdana"/>
          <w:sz w:val="24"/>
          <w:szCs w:val="24"/>
        </w:rPr>
      </w:pPr>
      <w:r w:rsidRPr="006D1E6F">
        <w:rPr>
          <w:rFonts w:ascii="Verdana" w:hAnsi="Verdana"/>
          <w:sz w:val="24"/>
          <w:szCs w:val="24"/>
        </w:rPr>
        <w:t>The disability specific section of the Programme for Government also commits to “use the recent research into the cost of disability to individuals and families to properly inform the direction of future policy (p.79).”</w:t>
      </w:r>
      <w:r>
        <w:rPr>
          <w:rFonts w:ascii="Verdana" w:hAnsi="Verdana"/>
          <w:sz w:val="24"/>
          <w:szCs w:val="24"/>
        </w:rPr>
        <w:t xml:space="preserve"> </w:t>
      </w:r>
    </w:p>
    <w:p w14:paraId="3EDDADDF" w14:textId="04C22792" w:rsidR="00B43C1A" w:rsidRDefault="00B43C1A" w:rsidP="00AD1E0C">
      <w:pPr>
        <w:rPr>
          <w:rFonts w:ascii="Verdana" w:hAnsi="Verdana"/>
          <w:sz w:val="24"/>
          <w:szCs w:val="24"/>
        </w:rPr>
      </w:pPr>
      <w:r>
        <w:rPr>
          <w:rFonts w:ascii="Verdana" w:hAnsi="Verdana"/>
          <w:sz w:val="24"/>
          <w:szCs w:val="24"/>
        </w:rPr>
        <w:t xml:space="preserve">Ireland has also committed to an </w:t>
      </w:r>
      <w:r w:rsidR="00DC1AF4">
        <w:rPr>
          <w:rFonts w:ascii="Verdana" w:hAnsi="Verdana"/>
          <w:sz w:val="24"/>
          <w:szCs w:val="24"/>
        </w:rPr>
        <w:t xml:space="preserve">At Risk of Poverty and </w:t>
      </w:r>
      <w:r w:rsidR="006361A7">
        <w:rPr>
          <w:rFonts w:ascii="Verdana" w:hAnsi="Verdana"/>
          <w:sz w:val="24"/>
          <w:szCs w:val="24"/>
        </w:rPr>
        <w:t xml:space="preserve">Social </w:t>
      </w:r>
      <w:r w:rsidR="00DC1AF4">
        <w:rPr>
          <w:rFonts w:ascii="Verdana" w:hAnsi="Verdana"/>
          <w:sz w:val="24"/>
          <w:szCs w:val="24"/>
        </w:rPr>
        <w:t xml:space="preserve">Exclusion </w:t>
      </w:r>
      <w:r w:rsidR="00E22B77">
        <w:rPr>
          <w:rFonts w:ascii="Verdana" w:hAnsi="Verdana"/>
          <w:sz w:val="24"/>
          <w:szCs w:val="24"/>
        </w:rPr>
        <w:t>(</w:t>
      </w:r>
      <w:r w:rsidRPr="008149C0">
        <w:rPr>
          <w:rFonts w:ascii="Verdana" w:hAnsi="Verdana"/>
          <w:sz w:val="24"/>
          <w:szCs w:val="24"/>
        </w:rPr>
        <w:t>AROPE</w:t>
      </w:r>
      <w:r w:rsidR="00E22B77">
        <w:rPr>
          <w:rFonts w:ascii="Verdana" w:hAnsi="Verdana"/>
          <w:sz w:val="24"/>
          <w:szCs w:val="24"/>
        </w:rPr>
        <w:t>)</w:t>
      </w:r>
      <w:r>
        <w:rPr>
          <w:rFonts w:ascii="Verdana" w:hAnsi="Verdana"/>
          <w:sz w:val="24"/>
          <w:szCs w:val="24"/>
        </w:rPr>
        <w:t xml:space="preserve"> reduction target of 90,000 people as our contribution to the </w:t>
      </w:r>
      <w:r w:rsidRPr="002B0D8A">
        <w:rPr>
          <w:rFonts w:ascii="Verdana" w:hAnsi="Verdana"/>
          <w:i/>
          <w:iCs/>
          <w:sz w:val="24"/>
          <w:szCs w:val="24"/>
        </w:rPr>
        <w:t>EU Pillar of Social Rights</w:t>
      </w:r>
      <w:r>
        <w:rPr>
          <w:rFonts w:ascii="Verdana" w:hAnsi="Verdana"/>
          <w:sz w:val="24"/>
          <w:szCs w:val="24"/>
        </w:rPr>
        <w:t xml:space="preserve"> poverty reduction targets. Given the disproportionate levels of disabled people at risk of poverty, increased social protection</w:t>
      </w:r>
      <w:r w:rsidR="00AF6817">
        <w:rPr>
          <w:rFonts w:ascii="Verdana" w:hAnsi="Verdana"/>
          <w:sz w:val="24"/>
          <w:szCs w:val="24"/>
        </w:rPr>
        <w:t xml:space="preserve"> supports for this coho</w:t>
      </w:r>
      <w:r w:rsidR="00803D62">
        <w:rPr>
          <w:rFonts w:ascii="Verdana" w:hAnsi="Verdana"/>
          <w:sz w:val="24"/>
          <w:szCs w:val="24"/>
        </w:rPr>
        <w:t>rt</w:t>
      </w:r>
      <w:r>
        <w:rPr>
          <w:rFonts w:ascii="Verdana" w:hAnsi="Verdana"/>
          <w:sz w:val="24"/>
          <w:szCs w:val="24"/>
        </w:rPr>
        <w:t xml:space="preserve"> would help deliver these targets, as recommended by the EU Commission </w:t>
      </w:r>
      <w:r w:rsidR="0093360D">
        <w:rPr>
          <w:rFonts w:ascii="Verdana" w:hAnsi="Verdana"/>
          <w:sz w:val="24"/>
          <w:szCs w:val="24"/>
        </w:rPr>
        <w:t>last year and this year</w:t>
      </w:r>
      <w:r w:rsidR="00780C00">
        <w:rPr>
          <w:rFonts w:ascii="Verdana" w:hAnsi="Verdana"/>
          <w:sz w:val="24"/>
          <w:szCs w:val="24"/>
        </w:rPr>
        <w:t>.</w:t>
      </w:r>
      <w:r w:rsidR="00513BAE">
        <w:rPr>
          <w:rStyle w:val="FootnoteReference"/>
          <w:rFonts w:ascii="Verdana" w:hAnsi="Verdana"/>
          <w:sz w:val="24"/>
          <w:szCs w:val="24"/>
        </w:rPr>
        <w:footnoteReference w:id="11"/>
      </w:r>
      <w:r>
        <w:rPr>
          <w:rFonts w:ascii="Verdana" w:hAnsi="Verdana"/>
          <w:sz w:val="24"/>
          <w:szCs w:val="24"/>
        </w:rPr>
        <w:t xml:space="preserve">  </w:t>
      </w:r>
    </w:p>
    <w:p w14:paraId="7E8EE01B" w14:textId="4618298D" w:rsidR="007F4CAB" w:rsidRPr="00F5696B" w:rsidRDefault="007F4CAB" w:rsidP="00F5696B">
      <w:pPr>
        <w:pStyle w:val="Heading1"/>
        <w:rPr>
          <w:sz w:val="24"/>
          <w:szCs w:val="24"/>
        </w:rPr>
      </w:pPr>
      <w:bookmarkStart w:id="7" w:name="_Toc171069199"/>
      <w:r w:rsidRPr="00F5696B">
        <w:rPr>
          <w:sz w:val="24"/>
          <w:szCs w:val="24"/>
        </w:rPr>
        <w:t xml:space="preserve">Roadmap for Social Inclusion </w:t>
      </w:r>
      <w:r w:rsidR="00805263" w:rsidRPr="00F5696B">
        <w:rPr>
          <w:sz w:val="24"/>
          <w:szCs w:val="24"/>
        </w:rPr>
        <w:t>–</w:t>
      </w:r>
      <w:r w:rsidR="0081492B" w:rsidRPr="00F5696B">
        <w:rPr>
          <w:sz w:val="24"/>
          <w:szCs w:val="24"/>
        </w:rPr>
        <w:t xml:space="preserve"> </w:t>
      </w:r>
      <w:r w:rsidR="00805263" w:rsidRPr="00F5696B">
        <w:rPr>
          <w:sz w:val="24"/>
          <w:szCs w:val="24"/>
        </w:rPr>
        <w:t xml:space="preserve">Way Behind on Poverty </w:t>
      </w:r>
      <w:r w:rsidR="00BF0ECB" w:rsidRPr="00F5696B">
        <w:rPr>
          <w:sz w:val="24"/>
          <w:szCs w:val="24"/>
        </w:rPr>
        <w:t xml:space="preserve">with </w:t>
      </w:r>
      <w:r w:rsidR="00D077B3" w:rsidRPr="00F5696B">
        <w:rPr>
          <w:sz w:val="24"/>
          <w:szCs w:val="24"/>
        </w:rPr>
        <w:t>L</w:t>
      </w:r>
      <w:r w:rsidR="00C002FC" w:rsidRPr="00F5696B">
        <w:rPr>
          <w:sz w:val="24"/>
          <w:szCs w:val="24"/>
        </w:rPr>
        <w:t xml:space="preserve">ess than 18 months </w:t>
      </w:r>
      <w:r w:rsidR="00D077B3" w:rsidRPr="00F5696B">
        <w:rPr>
          <w:sz w:val="24"/>
          <w:szCs w:val="24"/>
        </w:rPr>
        <w:t>L</w:t>
      </w:r>
      <w:r w:rsidR="00C002FC" w:rsidRPr="00F5696B">
        <w:rPr>
          <w:sz w:val="24"/>
          <w:szCs w:val="24"/>
        </w:rPr>
        <w:t>eft</w:t>
      </w:r>
      <w:bookmarkEnd w:id="7"/>
    </w:p>
    <w:p w14:paraId="00E923C0" w14:textId="55FADD2C" w:rsidR="00796B4A" w:rsidRDefault="00796B4A" w:rsidP="00163F56">
      <w:pPr>
        <w:rPr>
          <w:rFonts w:ascii="Verdana" w:hAnsi="Verdana"/>
          <w:sz w:val="24"/>
          <w:szCs w:val="24"/>
        </w:rPr>
      </w:pPr>
      <w:r w:rsidRPr="00163F56">
        <w:rPr>
          <w:rFonts w:ascii="Verdana" w:hAnsi="Verdana"/>
          <w:sz w:val="24"/>
          <w:szCs w:val="24"/>
        </w:rPr>
        <w:t>Ireland has made significant commitments to address</w:t>
      </w:r>
      <w:r w:rsidR="00AD1E0C">
        <w:rPr>
          <w:rFonts w:ascii="Verdana" w:hAnsi="Verdana"/>
          <w:sz w:val="24"/>
          <w:szCs w:val="24"/>
        </w:rPr>
        <w:t xml:space="preserve"> </w:t>
      </w:r>
      <w:r w:rsidRPr="00163F56">
        <w:rPr>
          <w:rFonts w:ascii="Verdana" w:hAnsi="Verdana"/>
          <w:sz w:val="24"/>
          <w:szCs w:val="24"/>
        </w:rPr>
        <w:t xml:space="preserve">disability poverty.  </w:t>
      </w:r>
      <w:r w:rsidR="00F93349">
        <w:rPr>
          <w:rFonts w:ascii="Verdana" w:hAnsi="Verdana"/>
          <w:sz w:val="24"/>
          <w:szCs w:val="24"/>
        </w:rPr>
        <w:t>T</w:t>
      </w:r>
      <w:r w:rsidRPr="00163F56">
        <w:rPr>
          <w:rFonts w:ascii="Verdana" w:hAnsi="Verdana"/>
          <w:sz w:val="24"/>
          <w:szCs w:val="24"/>
        </w:rPr>
        <w:t xml:space="preserve">he Roadmap </w:t>
      </w:r>
      <w:r w:rsidR="00DE1323">
        <w:rPr>
          <w:rFonts w:ascii="Verdana" w:hAnsi="Verdana"/>
          <w:sz w:val="24"/>
          <w:szCs w:val="24"/>
        </w:rPr>
        <w:t>for</w:t>
      </w:r>
      <w:r w:rsidRPr="00163F56">
        <w:rPr>
          <w:rFonts w:ascii="Verdana" w:hAnsi="Verdana"/>
          <w:sz w:val="24"/>
          <w:szCs w:val="24"/>
        </w:rPr>
        <w:t xml:space="preserve"> Social Inclusion 2020-2025</w:t>
      </w:r>
      <w:r w:rsidR="00202D7D">
        <w:rPr>
          <w:rFonts w:ascii="Verdana" w:hAnsi="Verdana"/>
          <w:sz w:val="24"/>
          <w:szCs w:val="24"/>
        </w:rPr>
        <w:t xml:space="preserve">, </w:t>
      </w:r>
      <w:r w:rsidR="00DE1323">
        <w:rPr>
          <w:rFonts w:ascii="Verdana" w:hAnsi="Verdana"/>
          <w:sz w:val="24"/>
          <w:szCs w:val="24"/>
        </w:rPr>
        <w:t>a policy</w:t>
      </w:r>
      <w:r w:rsidR="00CE4928">
        <w:rPr>
          <w:rFonts w:ascii="Verdana" w:hAnsi="Verdana"/>
          <w:sz w:val="24"/>
          <w:szCs w:val="24"/>
        </w:rPr>
        <w:t xml:space="preserve"> the</w:t>
      </w:r>
      <w:r w:rsidR="00202D7D">
        <w:rPr>
          <w:rFonts w:ascii="Verdana" w:hAnsi="Verdana"/>
          <w:sz w:val="24"/>
          <w:szCs w:val="24"/>
        </w:rPr>
        <w:t xml:space="preserve"> Programme for Government </w:t>
      </w:r>
      <w:r w:rsidR="00CE4928">
        <w:rPr>
          <w:rFonts w:ascii="Verdana" w:hAnsi="Verdana"/>
          <w:sz w:val="24"/>
          <w:szCs w:val="24"/>
        </w:rPr>
        <w:t>promised</w:t>
      </w:r>
      <w:r w:rsidR="00202D7D">
        <w:rPr>
          <w:rFonts w:ascii="Verdana" w:hAnsi="Verdana"/>
          <w:sz w:val="24"/>
          <w:szCs w:val="24"/>
        </w:rPr>
        <w:t xml:space="preserve"> </w:t>
      </w:r>
      <w:r w:rsidR="006361A7">
        <w:rPr>
          <w:rFonts w:ascii="Verdana" w:hAnsi="Verdana"/>
          <w:sz w:val="24"/>
          <w:szCs w:val="24"/>
        </w:rPr>
        <w:t>“</w:t>
      </w:r>
      <w:r w:rsidR="00666116" w:rsidRPr="006D1E6F">
        <w:rPr>
          <w:rFonts w:ascii="Verdana" w:hAnsi="Verdana"/>
          <w:sz w:val="24"/>
          <w:szCs w:val="24"/>
        </w:rPr>
        <w:t>rigorous implementation</w:t>
      </w:r>
      <w:r w:rsidR="006361A7">
        <w:rPr>
          <w:rFonts w:ascii="Verdana" w:hAnsi="Verdana"/>
          <w:sz w:val="24"/>
          <w:szCs w:val="24"/>
        </w:rPr>
        <w:t>”</w:t>
      </w:r>
      <w:r w:rsidR="00CE4928">
        <w:rPr>
          <w:rFonts w:ascii="Verdana" w:hAnsi="Verdana"/>
          <w:sz w:val="24"/>
          <w:szCs w:val="24"/>
        </w:rPr>
        <w:t xml:space="preserve"> of</w:t>
      </w:r>
      <w:r w:rsidR="00731E16">
        <w:rPr>
          <w:rFonts w:ascii="Verdana" w:hAnsi="Verdana"/>
          <w:sz w:val="24"/>
          <w:szCs w:val="24"/>
        </w:rPr>
        <w:t xml:space="preserve">, </w:t>
      </w:r>
      <w:r w:rsidR="00CE4928">
        <w:rPr>
          <w:rFonts w:ascii="Verdana" w:hAnsi="Verdana"/>
          <w:sz w:val="24"/>
          <w:szCs w:val="24"/>
        </w:rPr>
        <w:t>commits</w:t>
      </w:r>
      <w:r w:rsidR="00731E16">
        <w:rPr>
          <w:rFonts w:ascii="Verdana" w:hAnsi="Verdana"/>
          <w:sz w:val="24"/>
          <w:szCs w:val="24"/>
        </w:rPr>
        <w:t xml:space="preserve"> to</w:t>
      </w:r>
      <w:r w:rsidR="00657623" w:rsidRPr="00163F56">
        <w:rPr>
          <w:rFonts w:ascii="Verdana" w:hAnsi="Verdana"/>
          <w:sz w:val="24"/>
          <w:szCs w:val="24"/>
        </w:rPr>
        <w:t xml:space="preserve"> “</w:t>
      </w:r>
      <w:r w:rsidR="008B1AE5">
        <w:rPr>
          <w:rFonts w:ascii="Verdana" w:hAnsi="Verdana"/>
          <w:sz w:val="24"/>
          <w:szCs w:val="24"/>
        </w:rPr>
        <w:t>r</w:t>
      </w:r>
      <w:r w:rsidRPr="00163F56">
        <w:rPr>
          <w:rFonts w:ascii="Verdana" w:hAnsi="Verdana"/>
          <w:sz w:val="24"/>
          <w:szCs w:val="24"/>
        </w:rPr>
        <w:t xml:space="preserve">educe </w:t>
      </w:r>
      <w:r w:rsidRPr="00163F56">
        <w:rPr>
          <w:rFonts w:ascii="Verdana" w:hAnsi="Verdana"/>
          <w:sz w:val="24"/>
          <w:szCs w:val="24"/>
        </w:rPr>
        <w:lastRenderedPageBreak/>
        <w:t>the</w:t>
      </w:r>
      <w:r w:rsidR="00F84DA4">
        <w:rPr>
          <w:rFonts w:ascii="Verdana" w:hAnsi="Verdana"/>
          <w:sz w:val="24"/>
          <w:szCs w:val="24"/>
        </w:rPr>
        <w:t xml:space="preserve"> [disability]</w:t>
      </w:r>
      <w:r w:rsidRPr="00163F56">
        <w:rPr>
          <w:rFonts w:ascii="Verdana" w:hAnsi="Verdana"/>
          <w:sz w:val="24"/>
          <w:szCs w:val="24"/>
        </w:rPr>
        <w:t xml:space="preserve"> AROPE (At Risk of Poverty and Social Exclusion) rate from 36.9%, first to 28.7% (2025) and then to 22.7% (2030)</w:t>
      </w:r>
      <w:r w:rsidR="00657623" w:rsidRPr="00163F56">
        <w:rPr>
          <w:rFonts w:ascii="Verdana" w:hAnsi="Verdana"/>
          <w:sz w:val="24"/>
          <w:szCs w:val="24"/>
        </w:rPr>
        <w:t>”</w:t>
      </w:r>
      <w:r w:rsidRPr="00163F56">
        <w:rPr>
          <w:rFonts w:ascii="Verdana" w:hAnsi="Verdana"/>
          <w:sz w:val="24"/>
          <w:szCs w:val="24"/>
        </w:rPr>
        <w:t xml:space="preserve">. </w:t>
      </w:r>
    </w:p>
    <w:p w14:paraId="473C3C81" w14:textId="2B627187" w:rsidR="00304A10" w:rsidRPr="00260C0F" w:rsidRDefault="00304A10" w:rsidP="00304A10">
      <w:pPr>
        <w:rPr>
          <w:rFonts w:ascii="Verdana" w:hAnsi="Verdana"/>
          <w:b/>
          <w:bCs/>
          <w:sz w:val="24"/>
          <w:szCs w:val="24"/>
        </w:rPr>
      </w:pPr>
      <w:r w:rsidRPr="00BB4BF0">
        <w:rPr>
          <w:rFonts w:ascii="Verdana" w:hAnsi="Verdana"/>
          <w:sz w:val="24"/>
          <w:szCs w:val="24"/>
        </w:rPr>
        <w:t xml:space="preserve">The </w:t>
      </w:r>
      <w:proofErr w:type="gramStart"/>
      <w:r w:rsidRPr="00BB4BF0">
        <w:rPr>
          <w:rFonts w:ascii="Verdana" w:hAnsi="Verdana"/>
          <w:sz w:val="24"/>
          <w:szCs w:val="24"/>
        </w:rPr>
        <w:t>Roadmap</w:t>
      </w:r>
      <w:proofErr w:type="gramEnd"/>
      <w:r w:rsidRPr="00BB4BF0">
        <w:rPr>
          <w:rFonts w:ascii="Verdana" w:hAnsi="Verdana"/>
          <w:sz w:val="24"/>
          <w:szCs w:val="24"/>
        </w:rPr>
        <w:t xml:space="preserve"> also aims to reduce consistent poverty to 2% by 2025. </w:t>
      </w:r>
      <w:r w:rsidRPr="00DE25E5">
        <w:rPr>
          <w:rFonts w:ascii="Verdana" w:hAnsi="Verdana"/>
          <w:sz w:val="24"/>
          <w:szCs w:val="24"/>
        </w:rPr>
        <w:t xml:space="preserve">While the national average for consistent poverty is now 3.6%, </w:t>
      </w:r>
      <w:r w:rsidR="001B4804" w:rsidRPr="00DE25E5">
        <w:rPr>
          <w:rFonts w:ascii="Verdana" w:hAnsi="Verdana"/>
          <w:sz w:val="24"/>
          <w:szCs w:val="24"/>
        </w:rPr>
        <w:t xml:space="preserve">it is 16.5% for </w:t>
      </w:r>
      <w:r w:rsidRPr="00DE25E5">
        <w:rPr>
          <w:rFonts w:ascii="Verdana" w:hAnsi="Verdana"/>
          <w:sz w:val="24"/>
          <w:szCs w:val="24"/>
        </w:rPr>
        <w:t>those unable to work due to disability - a rate more than 4 times higher.</w:t>
      </w:r>
      <w:r w:rsidRPr="00BB4BF0">
        <w:rPr>
          <w:rFonts w:ascii="Verdana" w:hAnsi="Verdana"/>
          <w:sz w:val="24"/>
          <w:szCs w:val="24"/>
        </w:rPr>
        <w:t xml:space="preserve"> </w:t>
      </w:r>
    </w:p>
    <w:p w14:paraId="13F76A13" w14:textId="185D0AE3" w:rsidR="002D57A2" w:rsidRPr="00100102" w:rsidRDefault="00DD2FDB" w:rsidP="00796B4A">
      <w:pPr>
        <w:spacing w:line="276" w:lineRule="auto"/>
        <w:rPr>
          <w:rFonts w:ascii="Verdana" w:hAnsi="Verdana" w:cstheme="minorHAnsi"/>
          <w:sz w:val="24"/>
          <w:szCs w:val="24"/>
        </w:rPr>
      </w:pPr>
      <w:r>
        <w:rPr>
          <w:rFonts w:ascii="Verdana" w:hAnsi="Verdana" w:cstheme="minorHAnsi"/>
          <w:sz w:val="24"/>
          <w:szCs w:val="24"/>
        </w:rPr>
        <w:t>Despite</w:t>
      </w:r>
      <w:r w:rsidR="00176429">
        <w:rPr>
          <w:rFonts w:ascii="Verdana" w:hAnsi="Verdana" w:cstheme="minorHAnsi"/>
          <w:sz w:val="24"/>
          <w:szCs w:val="24"/>
        </w:rPr>
        <w:t xml:space="preserve"> these commitments</w:t>
      </w:r>
      <w:r w:rsidR="00796B4A">
        <w:rPr>
          <w:rFonts w:ascii="Verdana" w:hAnsi="Verdana" w:cstheme="minorHAnsi"/>
          <w:sz w:val="24"/>
          <w:szCs w:val="24"/>
        </w:rPr>
        <w:t>,</w:t>
      </w:r>
      <w:r w:rsidR="00567B55">
        <w:rPr>
          <w:rFonts w:ascii="Verdana" w:hAnsi="Verdana"/>
          <w:sz w:val="24"/>
          <w:szCs w:val="24"/>
        </w:rPr>
        <w:t xml:space="preserve"> </w:t>
      </w:r>
      <w:r w:rsidR="007C5229">
        <w:rPr>
          <w:rFonts w:ascii="Verdana" w:hAnsi="Verdana"/>
          <w:sz w:val="24"/>
          <w:szCs w:val="24"/>
        </w:rPr>
        <w:t xml:space="preserve">each </w:t>
      </w:r>
      <w:r w:rsidR="00176429">
        <w:rPr>
          <w:rFonts w:ascii="Verdana" w:hAnsi="Verdana"/>
          <w:sz w:val="24"/>
          <w:szCs w:val="24"/>
        </w:rPr>
        <w:t xml:space="preserve">Roadmap </w:t>
      </w:r>
      <w:r w:rsidR="007C5229">
        <w:rPr>
          <w:rFonts w:ascii="Verdana" w:hAnsi="Verdana"/>
          <w:sz w:val="24"/>
          <w:szCs w:val="24"/>
        </w:rPr>
        <w:t xml:space="preserve">progress report </w:t>
      </w:r>
      <w:r w:rsidR="00C93EE7">
        <w:rPr>
          <w:rFonts w:ascii="Verdana" w:hAnsi="Verdana"/>
          <w:sz w:val="24"/>
          <w:szCs w:val="24"/>
        </w:rPr>
        <w:t>since 2020</w:t>
      </w:r>
      <w:r w:rsidR="007C5229">
        <w:rPr>
          <w:rFonts w:ascii="Verdana" w:hAnsi="Verdana"/>
          <w:sz w:val="24"/>
          <w:szCs w:val="24"/>
        </w:rPr>
        <w:t xml:space="preserve"> </w:t>
      </w:r>
      <w:r w:rsidR="00C01629">
        <w:rPr>
          <w:rFonts w:ascii="Verdana" w:hAnsi="Verdana"/>
          <w:sz w:val="24"/>
          <w:szCs w:val="24"/>
        </w:rPr>
        <w:t xml:space="preserve">has </w:t>
      </w:r>
      <w:r w:rsidR="007C5229">
        <w:rPr>
          <w:rFonts w:ascii="Verdana" w:hAnsi="Verdana"/>
          <w:sz w:val="24"/>
          <w:szCs w:val="24"/>
        </w:rPr>
        <w:t>show</w:t>
      </w:r>
      <w:r w:rsidR="00C01629">
        <w:rPr>
          <w:rFonts w:ascii="Verdana" w:hAnsi="Verdana"/>
          <w:sz w:val="24"/>
          <w:szCs w:val="24"/>
        </w:rPr>
        <w:t>n</w:t>
      </w:r>
      <w:r w:rsidR="007C5229">
        <w:rPr>
          <w:rFonts w:ascii="Verdana" w:hAnsi="Verdana"/>
          <w:sz w:val="24"/>
          <w:szCs w:val="24"/>
        </w:rPr>
        <w:t xml:space="preserve"> how far away this</w:t>
      </w:r>
      <w:r w:rsidR="00AB0D19">
        <w:rPr>
          <w:rFonts w:ascii="Verdana" w:hAnsi="Verdana"/>
          <w:sz w:val="24"/>
          <w:szCs w:val="24"/>
        </w:rPr>
        <w:t xml:space="preserve"> quite</w:t>
      </w:r>
      <w:r w:rsidR="007C5229">
        <w:rPr>
          <w:rFonts w:ascii="Verdana" w:hAnsi="Verdana"/>
          <w:sz w:val="24"/>
          <w:szCs w:val="24"/>
        </w:rPr>
        <w:t xml:space="preserve"> modest target is</w:t>
      </w:r>
      <w:r w:rsidR="00567B55">
        <w:rPr>
          <w:rFonts w:ascii="Verdana" w:hAnsi="Verdana"/>
          <w:sz w:val="24"/>
          <w:szCs w:val="24"/>
        </w:rPr>
        <w:t>.</w:t>
      </w:r>
      <w:r w:rsidR="00567B55" w:rsidRPr="0022192D">
        <w:rPr>
          <w:rFonts w:ascii="Verdana" w:hAnsi="Verdana" w:cstheme="minorHAnsi"/>
          <w:sz w:val="24"/>
          <w:szCs w:val="24"/>
        </w:rPr>
        <w:t xml:space="preserve"> </w:t>
      </w:r>
      <w:r w:rsidR="00567B55">
        <w:rPr>
          <w:rFonts w:ascii="Verdana" w:hAnsi="Verdana" w:cstheme="minorHAnsi"/>
          <w:sz w:val="24"/>
          <w:szCs w:val="24"/>
        </w:rPr>
        <w:t>T</w:t>
      </w:r>
      <w:r w:rsidR="00796B4A" w:rsidRPr="0022192D">
        <w:rPr>
          <w:rFonts w:ascii="Verdana" w:hAnsi="Verdana" w:cstheme="minorHAnsi"/>
          <w:sz w:val="24"/>
          <w:szCs w:val="24"/>
        </w:rPr>
        <w:t xml:space="preserve">he </w:t>
      </w:r>
      <w:r w:rsidR="007C5229">
        <w:rPr>
          <w:rFonts w:ascii="Verdana" w:hAnsi="Verdana" w:cstheme="minorHAnsi"/>
          <w:sz w:val="24"/>
          <w:szCs w:val="24"/>
        </w:rPr>
        <w:t>Third</w:t>
      </w:r>
      <w:r w:rsidR="00796B4A" w:rsidRPr="0022192D">
        <w:rPr>
          <w:rFonts w:ascii="Verdana" w:hAnsi="Verdana" w:cstheme="minorHAnsi"/>
          <w:sz w:val="24"/>
          <w:szCs w:val="24"/>
        </w:rPr>
        <w:t xml:space="preserve"> Progress Report shows that </w:t>
      </w:r>
      <w:r w:rsidR="00796B4A" w:rsidRPr="00DF66B0">
        <w:rPr>
          <w:rFonts w:ascii="Verdana" w:hAnsi="Verdana" w:cstheme="minorHAnsi"/>
          <w:b/>
          <w:bCs/>
          <w:sz w:val="24"/>
          <w:szCs w:val="24"/>
        </w:rPr>
        <w:t xml:space="preserve">Ireland’s </w:t>
      </w:r>
      <w:r w:rsidR="00CD420E" w:rsidRPr="00DF66B0">
        <w:rPr>
          <w:rFonts w:ascii="Verdana" w:hAnsi="Verdana" w:cstheme="minorHAnsi"/>
          <w:b/>
          <w:bCs/>
          <w:sz w:val="24"/>
          <w:szCs w:val="24"/>
        </w:rPr>
        <w:t xml:space="preserve">disability </w:t>
      </w:r>
      <w:r w:rsidR="00796B4A" w:rsidRPr="00DF66B0">
        <w:rPr>
          <w:rFonts w:ascii="Verdana" w:hAnsi="Verdana" w:cstheme="minorHAnsi"/>
          <w:b/>
          <w:bCs/>
          <w:sz w:val="24"/>
          <w:szCs w:val="24"/>
        </w:rPr>
        <w:t xml:space="preserve">AROPE rate </w:t>
      </w:r>
      <w:r w:rsidR="0015559A" w:rsidRPr="00DF66B0">
        <w:rPr>
          <w:rFonts w:ascii="Verdana" w:hAnsi="Verdana" w:cstheme="minorHAnsi"/>
          <w:b/>
          <w:bCs/>
          <w:sz w:val="24"/>
          <w:szCs w:val="24"/>
        </w:rPr>
        <w:t xml:space="preserve">actually </w:t>
      </w:r>
      <w:r w:rsidR="0015559A" w:rsidRPr="00DF66B0">
        <w:rPr>
          <w:rFonts w:ascii="Verdana" w:hAnsi="Verdana" w:cstheme="minorHAnsi"/>
          <w:b/>
          <w:bCs/>
          <w:i/>
          <w:iCs/>
          <w:sz w:val="24"/>
          <w:szCs w:val="24"/>
        </w:rPr>
        <w:t>increased</w:t>
      </w:r>
      <w:r w:rsidR="0015559A" w:rsidRPr="00DF66B0">
        <w:rPr>
          <w:rFonts w:ascii="Verdana" w:hAnsi="Verdana" w:cstheme="minorHAnsi"/>
          <w:b/>
          <w:bCs/>
          <w:sz w:val="24"/>
          <w:szCs w:val="24"/>
        </w:rPr>
        <w:t xml:space="preserve"> </w:t>
      </w:r>
      <w:r w:rsidR="003E2123">
        <w:rPr>
          <w:rFonts w:ascii="Verdana" w:hAnsi="Verdana" w:cstheme="minorHAnsi"/>
          <w:b/>
          <w:bCs/>
          <w:sz w:val="24"/>
          <w:szCs w:val="24"/>
        </w:rPr>
        <w:t xml:space="preserve">again </w:t>
      </w:r>
      <w:r w:rsidR="0015559A" w:rsidRPr="00DF66B0">
        <w:rPr>
          <w:rFonts w:ascii="Verdana" w:hAnsi="Verdana" w:cstheme="minorHAnsi"/>
          <w:b/>
          <w:bCs/>
          <w:sz w:val="24"/>
          <w:szCs w:val="24"/>
        </w:rPr>
        <w:t>in 202</w:t>
      </w:r>
      <w:r w:rsidR="003E2123">
        <w:rPr>
          <w:rFonts w:ascii="Verdana" w:hAnsi="Verdana" w:cstheme="minorHAnsi"/>
          <w:b/>
          <w:bCs/>
          <w:sz w:val="24"/>
          <w:szCs w:val="24"/>
        </w:rPr>
        <w:t>2</w:t>
      </w:r>
      <w:r w:rsidR="0015559A" w:rsidRPr="00DF66B0">
        <w:rPr>
          <w:rFonts w:ascii="Verdana" w:hAnsi="Verdana" w:cstheme="minorHAnsi"/>
          <w:b/>
          <w:bCs/>
          <w:sz w:val="24"/>
          <w:szCs w:val="24"/>
        </w:rPr>
        <w:t xml:space="preserve"> - </w:t>
      </w:r>
      <w:r w:rsidR="00745FBF" w:rsidRPr="0062648D">
        <w:rPr>
          <w:rFonts w:ascii="Verdana" w:hAnsi="Verdana" w:cstheme="minorHAnsi"/>
          <w:sz w:val="24"/>
          <w:szCs w:val="24"/>
        </w:rPr>
        <w:t>increas</w:t>
      </w:r>
      <w:r w:rsidR="00866427">
        <w:rPr>
          <w:rFonts w:ascii="Verdana" w:hAnsi="Verdana" w:cstheme="minorHAnsi"/>
          <w:sz w:val="24"/>
          <w:szCs w:val="24"/>
        </w:rPr>
        <w:t>ing</w:t>
      </w:r>
      <w:r w:rsidR="00745FBF" w:rsidRPr="0062648D">
        <w:rPr>
          <w:rFonts w:ascii="Verdana" w:hAnsi="Verdana" w:cstheme="minorHAnsi"/>
          <w:sz w:val="24"/>
          <w:szCs w:val="24"/>
        </w:rPr>
        <w:t xml:space="preserve"> from 35% in 2020 to 39.5% in 2022</w:t>
      </w:r>
      <w:r w:rsidR="00CD420E" w:rsidRPr="00DF66B0">
        <w:rPr>
          <w:rFonts w:ascii="Verdana" w:hAnsi="Verdana" w:cstheme="minorHAnsi"/>
          <w:b/>
          <w:bCs/>
          <w:sz w:val="24"/>
          <w:szCs w:val="24"/>
        </w:rPr>
        <w:t>.</w:t>
      </w:r>
      <w:r w:rsidR="0015559A">
        <w:rPr>
          <w:rStyle w:val="FootnoteReference"/>
          <w:rFonts w:ascii="Verdana" w:hAnsi="Verdana" w:cstheme="minorHAnsi"/>
          <w:sz w:val="24"/>
          <w:szCs w:val="24"/>
        </w:rPr>
        <w:footnoteReference w:id="12"/>
      </w:r>
      <w:r w:rsidR="0015559A">
        <w:rPr>
          <w:rFonts w:ascii="Verdana" w:hAnsi="Verdana" w:cstheme="minorHAnsi"/>
          <w:sz w:val="24"/>
          <w:szCs w:val="24"/>
        </w:rPr>
        <w:t xml:space="preserve"> </w:t>
      </w:r>
      <w:r w:rsidR="00546996">
        <w:rPr>
          <w:rFonts w:ascii="Verdana" w:hAnsi="Verdana" w:cstheme="minorHAnsi"/>
          <w:b/>
          <w:bCs/>
          <w:sz w:val="24"/>
          <w:szCs w:val="24"/>
        </w:rPr>
        <w:t>Ranking</w:t>
      </w:r>
      <w:r w:rsidR="003E2123">
        <w:rPr>
          <w:rFonts w:ascii="Verdana" w:hAnsi="Verdana" w:cstheme="minorHAnsi"/>
          <w:b/>
          <w:bCs/>
          <w:sz w:val="24"/>
          <w:szCs w:val="24"/>
        </w:rPr>
        <w:t xml:space="preserve"> 22</w:t>
      </w:r>
      <w:r w:rsidR="003E2123" w:rsidRPr="003E2123">
        <w:rPr>
          <w:rFonts w:ascii="Verdana" w:hAnsi="Verdana" w:cstheme="minorHAnsi"/>
          <w:b/>
          <w:bCs/>
          <w:sz w:val="24"/>
          <w:szCs w:val="24"/>
          <w:vertAlign w:val="superscript"/>
        </w:rPr>
        <w:t>nd</w:t>
      </w:r>
      <w:r w:rsidR="003E2123">
        <w:rPr>
          <w:rFonts w:ascii="Verdana" w:hAnsi="Verdana" w:cstheme="minorHAnsi"/>
          <w:b/>
          <w:bCs/>
          <w:sz w:val="24"/>
          <w:szCs w:val="24"/>
        </w:rPr>
        <w:t xml:space="preserve"> of the EU 27</w:t>
      </w:r>
      <w:r w:rsidR="003275EC" w:rsidRPr="00457AEF">
        <w:rPr>
          <w:rFonts w:ascii="Verdana" w:hAnsi="Verdana" w:cstheme="minorHAnsi"/>
          <w:b/>
          <w:bCs/>
          <w:sz w:val="24"/>
          <w:szCs w:val="24"/>
        </w:rPr>
        <w:t xml:space="preserve"> last year</w:t>
      </w:r>
      <w:r w:rsidR="00796B4A" w:rsidRPr="00457AEF">
        <w:rPr>
          <w:rFonts w:ascii="Verdana" w:hAnsi="Verdana" w:cstheme="minorHAnsi"/>
          <w:b/>
          <w:bCs/>
          <w:sz w:val="24"/>
          <w:szCs w:val="24"/>
        </w:rPr>
        <w:t xml:space="preserve">, </w:t>
      </w:r>
      <w:r w:rsidR="008F1546" w:rsidRPr="00CA26A8">
        <w:rPr>
          <w:rFonts w:ascii="Verdana" w:hAnsi="Verdana" w:cstheme="minorHAnsi"/>
          <w:sz w:val="24"/>
          <w:szCs w:val="24"/>
        </w:rPr>
        <w:t>Ireland is</w:t>
      </w:r>
      <w:r w:rsidR="003E2123" w:rsidRPr="00CA26A8">
        <w:rPr>
          <w:rFonts w:ascii="Verdana" w:hAnsi="Verdana" w:cstheme="minorHAnsi"/>
          <w:sz w:val="24"/>
          <w:szCs w:val="24"/>
        </w:rPr>
        <w:t xml:space="preserve"> also miles away from entering</w:t>
      </w:r>
      <w:r w:rsidR="003E2123">
        <w:rPr>
          <w:rFonts w:ascii="Verdana" w:hAnsi="Verdana" w:cstheme="minorHAnsi"/>
          <w:b/>
          <w:bCs/>
          <w:sz w:val="24"/>
          <w:szCs w:val="24"/>
        </w:rPr>
        <w:t xml:space="preserve"> </w:t>
      </w:r>
      <w:r w:rsidR="00796B4A" w:rsidRPr="0022192D">
        <w:rPr>
          <w:rFonts w:ascii="Verdana" w:hAnsi="Verdana" w:cstheme="minorHAnsi"/>
          <w:sz w:val="24"/>
          <w:szCs w:val="24"/>
        </w:rPr>
        <w:t>the top 10</w:t>
      </w:r>
      <w:r w:rsidR="00AF2E8C">
        <w:rPr>
          <w:rFonts w:ascii="Verdana" w:hAnsi="Verdana" w:cstheme="minorHAnsi"/>
          <w:sz w:val="24"/>
          <w:szCs w:val="24"/>
        </w:rPr>
        <w:t xml:space="preserve"> EU </w:t>
      </w:r>
      <w:r w:rsidR="00116CE4">
        <w:rPr>
          <w:rFonts w:ascii="Verdana" w:hAnsi="Verdana" w:cstheme="minorHAnsi"/>
          <w:sz w:val="24"/>
          <w:szCs w:val="24"/>
        </w:rPr>
        <w:t>countries</w:t>
      </w:r>
      <w:r w:rsidR="00BB31D4">
        <w:rPr>
          <w:rFonts w:ascii="Verdana" w:hAnsi="Verdana" w:cstheme="minorHAnsi"/>
          <w:sz w:val="24"/>
          <w:szCs w:val="24"/>
        </w:rPr>
        <w:t xml:space="preserve"> for disability poverty</w:t>
      </w:r>
      <w:r w:rsidR="00796B4A" w:rsidRPr="0022192D">
        <w:rPr>
          <w:rFonts w:ascii="Verdana" w:hAnsi="Verdana" w:cstheme="minorHAnsi"/>
          <w:sz w:val="24"/>
          <w:szCs w:val="24"/>
        </w:rPr>
        <w:t xml:space="preserve"> by 2025</w:t>
      </w:r>
      <w:r w:rsidR="003E2123">
        <w:rPr>
          <w:rFonts w:ascii="Verdana" w:hAnsi="Verdana" w:cstheme="minorHAnsi"/>
          <w:sz w:val="24"/>
          <w:szCs w:val="24"/>
        </w:rPr>
        <w:t xml:space="preserve">, </w:t>
      </w:r>
      <w:r w:rsidR="008F1546">
        <w:rPr>
          <w:rFonts w:ascii="Verdana" w:hAnsi="Verdana" w:cstheme="minorHAnsi"/>
          <w:sz w:val="24"/>
          <w:szCs w:val="24"/>
        </w:rPr>
        <w:t xml:space="preserve">another </w:t>
      </w:r>
      <w:r w:rsidR="00A720FA">
        <w:rPr>
          <w:rFonts w:ascii="Verdana" w:hAnsi="Verdana" w:cstheme="minorHAnsi"/>
          <w:sz w:val="24"/>
          <w:szCs w:val="24"/>
        </w:rPr>
        <w:t>commitment</w:t>
      </w:r>
      <w:r w:rsidR="008F1546">
        <w:rPr>
          <w:rFonts w:ascii="Verdana" w:hAnsi="Verdana" w:cstheme="minorHAnsi"/>
          <w:sz w:val="24"/>
          <w:szCs w:val="24"/>
        </w:rPr>
        <w:t xml:space="preserve"> in the</w:t>
      </w:r>
      <w:r w:rsidR="003E2123">
        <w:rPr>
          <w:rFonts w:ascii="Verdana" w:hAnsi="Verdana" w:cstheme="minorHAnsi"/>
          <w:sz w:val="24"/>
          <w:szCs w:val="24"/>
        </w:rPr>
        <w:t xml:space="preserve"> </w:t>
      </w:r>
      <w:proofErr w:type="gramStart"/>
      <w:r w:rsidR="003E2123">
        <w:rPr>
          <w:rFonts w:ascii="Verdana" w:hAnsi="Verdana" w:cstheme="minorHAnsi"/>
          <w:sz w:val="24"/>
          <w:szCs w:val="24"/>
        </w:rPr>
        <w:t>Roadmap</w:t>
      </w:r>
      <w:proofErr w:type="gramEnd"/>
      <w:r w:rsidR="00796B4A" w:rsidRPr="0022192D">
        <w:rPr>
          <w:rFonts w:ascii="Verdana" w:hAnsi="Verdana" w:cstheme="minorHAnsi"/>
          <w:sz w:val="24"/>
          <w:szCs w:val="24"/>
        </w:rPr>
        <w:t>.</w:t>
      </w:r>
      <w:r w:rsidR="00E71E75">
        <w:rPr>
          <w:rFonts w:ascii="Verdana" w:hAnsi="Verdana" w:cstheme="minorHAnsi"/>
          <w:sz w:val="24"/>
          <w:szCs w:val="24"/>
        </w:rPr>
        <w:t xml:space="preserve"> </w:t>
      </w:r>
      <w:r w:rsidR="00816D95" w:rsidRPr="00CA26A8">
        <w:rPr>
          <w:rFonts w:ascii="Verdana" w:hAnsi="Verdana"/>
          <w:b/>
          <w:bCs/>
          <w:sz w:val="24"/>
          <w:szCs w:val="24"/>
        </w:rPr>
        <w:t>This is one of only two Roadmap indicators where Ireland ranks outside the top 20 EU countries for the third year in a row.</w:t>
      </w:r>
      <w:r w:rsidR="00816D95" w:rsidRPr="001B57D2">
        <w:rPr>
          <w:rFonts w:ascii="Verdana" w:hAnsi="Verdana"/>
          <w:sz w:val="24"/>
          <w:szCs w:val="24"/>
        </w:rPr>
        <w:t xml:space="preserve"> </w:t>
      </w:r>
      <w:r w:rsidR="00816D95" w:rsidRPr="001D3DC1">
        <w:rPr>
          <w:rFonts w:ascii="Verdana" w:hAnsi="Verdana" w:cstheme="minorHAnsi"/>
          <w:sz w:val="24"/>
          <w:szCs w:val="24"/>
        </w:rPr>
        <w:t>Given that th</w:t>
      </w:r>
      <w:r w:rsidR="00E71E75">
        <w:rPr>
          <w:rFonts w:ascii="Verdana" w:hAnsi="Verdana" w:cstheme="minorHAnsi"/>
          <w:sz w:val="24"/>
          <w:szCs w:val="24"/>
        </w:rPr>
        <w:t>is is the final</w:t>
      </w:r>
      <w:r w:rsidR="00816D95" w:rsidRPr="001D3DC1">
        <w:rPr>
          <w:rFonts w:ascii="Verdana" w:hAnsi="Verdana" w:cstheme="minorHAnsi"/>
          <w:sz w:val="24"/>
          <w:szCs w:val="24"/>
        </w:rPr>
        <w:t xml:space="preserve"> Budget left to deliver the </w:t>
      </w:r>
      <w:proofErr w:type="gramStart"/>
      <w:r w:rsidR="00816D95" w:rsidRPr="001D3DC1">
        <w:rPr>
          <w:rFonts w:ascii="Verdana" w:hAnsi="Verdana" w:cstheme="minorHAnsi"/>
          <w:sz w:val="24"/>
          <w:szCs w:val="24"/>
        </w:rPr>
        <w:t>Roadmap’s</w:t>
      </w:r>
      <w:proofErr w:type="gramEnd"/>
      <w:r w:rsidR="00816D95" w:rsidRPr="001D3DC1">
        <w:rPr>
          <w:rFonts w:ascii="Verdana" w:hAnsi="Verdana" w:cstheme="minorHAnsi"/>
          <w:sz w:val="24"/>
          <w:szCs w:val="24"/>
        </w:rPr>
        <w:t xml:space="preserve"> targets, urgent corrective action will be required in</w:t>
      </w:r>
      <w:r w:rsidR="00816D95" w:rsidRPr="001B57D2">
        <w:rPr>
          <w:rFonts w:ascii="Verdana" w:hAnsi="Verdana" w:cstheme="minorHAnsi"/>
          <w:sz w:val="24"/>
          <w:szCs w:val="24"/>
        </w:rPr>
        <w:t xml:space="preserve"> Budget 2025 to address this </w:t>
      </w:r>
      <w:r w:rsidR="00816D95">
        <w:rPr>
          <w:rFonts w:ascii="Verdana" w:hAnsi="Verdana" w:cstheme="minorHAnsi"/>
          <w:sz w:val="24"/>
          <w:szCs w:val="24"/>
        </w:rPr>
        <w:t xml:space="preserve">failure to </w:t>
      </w:r>
      <w:r w:rsidR="00974A97">
        <w:rPr>
          <w:rFonts w:ascii="Verdana" w:hAnsi="Verdana" w:cstheme="minorHAnsi"/>
          <w:sz w:val="24"/>
          <w:szCs w:val="24"/>
        </w:rPr>
        <w:t>deliver on commitments</w:t>
      </w:r>
      <w:r w:rsidR="00816D95">
        <w:rPr>
          <w:rFonts w:ascii="Verdana" w:hAnsi="Verdana" w:cstheme="minorHAnsi"/>
          <w:sz w:val="24"/>
          <w:szCs w:val="24"/>
        </w:rPr>
        <w:t>.</w:t>
      </w:r>
      <w:r w:rsidR="00816D95" w:rsidRPr="001B57D2">
        <w:rPr>
          <w:rFonts w:ascii="Verdana" w:hAnsi="Verdana" w:cstheme="minorHAnsi"/>
          <w:sz w:val="24"/>
          <w:szCs w:val="24"/>
        </w:rPr>
        <w:t xml:space="preserve"> </w:t>
      </w:r>
    </w:p>
    <w:p w14:paraId="548F65B7" w14:textId="2CF5737C" w:rsidR="00D967EE" w:rsidRPr="00F5696B" w:rsidRDefault="00584C91" w:rsidP="00F5696B">
      <w:pPr>
        <w:pStyle w:val="Heading1"/>
        <w:rPr>
          <w:sz w:val="24"/>
          <w:szCs w:val="24"/>
        </w:rPr>
      </w:pPr>
      <w:bookmarkStart w:id="8" w:name="_Toc171069200"/>
      <w:r w:rsidRPr="00F5696B">
        <w:rPr>
          <w:sz w:val="24"/>
          <w:szCs w:val="24"/>
        </w:rPr>
        <w:t>EU</w:t>
      </w:r>
      <w:r w:rsidR="00542822" w:rsidRPr="00F5696B">
        <w:rPr>
          <w:sz w:val="24"/>
          <w:szCs w:val="24"/>
        </w:rPr>
        <w:t>:</w:t>
      </w:r>
      <w:r w:rsidRPr="00F5696B">
        <w:rPr>
          <w:sz w:val="24"/>
          <w:szCs w:val="24"/>
        </w:rPr>
        <w:t xml:space="preserve"> </w:t>
      </w:r>
      <w:r w:rsidR="007F4507" w:rsidRPr="00F5696B">
        <w:rPr>
          <w:sz w:val="24"/>
          <w:szCs w:val="24"/>
        </w:rPr>
        <w:t xml:space="preserve">Ireland </w:t>
      </w:r>
      <w:r w:rsidRPr="00F5696B">
        <w:rPr>
          <w:sz w:val="24"/>
          <w:szCs w:val="24"/>
        </w:rPr>
        <w:t>L</w:t>
      </w:r>
      <w:r w:rsidR="007F4507" w:rsidRPr="00F5696B">
        <w:rPr>
          <w:sz w:val="24"/>
          <w:szCs w:val="24"/>
        </w:rPr>
        <w:t xml:space="preserve">eads </w:t>
      </w:r>
      <w:r w:rsidR="008505BA" w:rsidRPr="00F5696B">
        <w:rPr>
          <w:sz w:val="24"/>
          <w:szCs w:val="24"/>
        </w:rPr>
        <w:t>“</w:t>
      </w:r>
      <w:r w:rsidR="00DE33F3" w:rsidRPr="00F5696B">
        <w:rPr>
          <w:sz w:val="24"/>
          <w:szCs w:val="24"/>
        </w:rPr>
        <w:t>H</w:t>
      </w:r>
      <w:r w:rsidR="007F4507" w:rsidRPr="00F5696B">
        <w:rPr>
          <w:sz w:val="24"/>
          <w:szCs w:val="24"/>
        </w:rPr>
        <w:t xml:space="preserve">all of </w:t>
      </w:r>
      <w:r w:rsidR="00DE33F3" w:rsidRPr="00F5696B">
        <w:rPr>
          <w:sz w:val="24"/>
          <w:szCs w:val="24"/>
        </w:rPr>
        <w:t>S</w:t>
      </w:r>
      <w:r w:rsidR="007F4507" w:rsidRPr="00F5696B">
        <w:rPr>
          <w:sz w:val="24"/>
          <w:szCs w:val="24"/>
        </w:rPr>
        <w:t>hame</w:t>
      </w:r>
      <w:r w:rsidR="008505BA" w:rsidRPr="00F5696B">
        <w:rPr>
          <w:sz w:val="24"/>
          <w:szCs w:val="24"/>
        </w:rPr>
        <w:t>”</w:t>
      </w:r>
      <w:bookmarkEnd w:id="8"/>
      <w:r w:rsidR="007F4507" w:rsidRPr="00F5696B">
        <w:rPr>
          <w:sz w:val="24"/>
          <w:szCs w:val="24"/>
        </w:rPr>
        <w:t xml:space="preserve"> </w:t>
      </w:r>
      <w:r w:rsidR="008505BA" w:rsidRPr="00F5696B">
        <w:rPr>
          <w:sz w:val="24"/>
          <w:szCs w:val="24"/>
        </w:rPr>
        <w:t xml:space="preserve"> </w:t>
      </w:r>
    </w:p>
    <w:p w14:paraId="775FA390" w14:textId="70A0FD9B" w:rsidR="00847BFE" w:rsidRPr="009B2115" w:rsidRDefault="0040385F" w:rsidP="00847BFE">
      <w:pPr>
        <w:spacing w:line="276" w:lineRule="auto"/>
        <w:rPr>
          <w:rFonts w:ascii="Verdana" w:hAnsi="Verdana"/>
          <w:sz w:val="24"/>
          <w:szCs w:val="24"/>
        </w:rPr>
      </w:pPr>
      <w:r w:rsidRPr="00CA1FAA">
        <w:rPr>
          <w:rFonts w:ascii="Verdana" w:hAnsi="Verdana"/>
          <w:sz w:val="24"/>
          <w:szCs w:val="24"/>
        </w:rPr>
        <w:t xml:space="preserve">Ireland </w:t>
      </w:r>
      <w:r>
        <w:rPr>
          <w:rFonts w:ascii="Verdana" w:hAnsi="Verdana"/>
          <w:sz w:val="24"/>
          <w:szCs w:val="24"/>
        </w:rPr>
        <w:t xml:space="preserve">continues to </w:t>
      </w:r>
      <w:r w:rsidRPr="00CA1FAA">
        <w:rPr>
          <w:rFonts w:ascii="Verdana" w:hAnsi="Verdana"/>
          <w:sz w:val="24"/>
          <w:szCs w:val="24"/>
        </w:rPr>
        <w:t xml:space="preserve">perform extremely poorly at EU level </w:t>
      </w:r>
      <w:r>
        <w:rPr>
          <w:rFonts w:ascii="Verdana" w:hAnsi="Verdana"/>
          <w:sz w:val="24"/>
          <w:szCs w:val="24"/>
        </w:rPr>
        <w:t>on employment</w:t>
      </w:r>
      <w:r w:rsidR="004562F0">
        <w:rPr>
          <w:rFonts w:ascii="Verdana" w:hAnsi="Verdana"/>
          <w:sz w:val="24"/>
          <w:szCs w:val="24"/>
        </w:rPr>
        <w:t xml:space="preserve"> (and on poverty, as we have already shown)</w:t>
      </w:r>
      <w:r w:rsidRPr="00CA1FAA">
        <w:rPr>
          <w:rFonts w:ascii="Verdana" w:hAnsi="Verdana"/>
          <w:sz w:val="24"/>
          <w:szCs w:val="24"/>
        </w:rPr>
        <w:t xml:space="preserve">. A </w:t>
      </w:r>
      <w:r>
        <w:rPr>
          <w:rFonts w:ascii="Verdana" w:hAnsi="Verdana"/>
          <w:sz w:val="24"/>
          <w:szCs w:val="24"/>
        </w:rPr>
        <w:t xml:space="preserve">2023 </w:t>
      </w:r>
      <w:r w:rsidRPr="00CA1FAA">
        <w:rPr>
          <w:rFonts w:ascii="Verdana" w:hAnsi="Verdana"/>
          <w:sz w:val="24"/>
          <w:szCs w:val="24"/>
        </w:rPr>
        <w:t xml:space="preserve">European Disability Forum </w:t>
      </w:r>
      <w:r>
        <w:rPr>
          <w:rFonts w:ascii="Verdana" w:hAnsi="Verdana"/>
          <w:sz w:val="24"/>
          <w:szCs w:val="24"/>
        </w:rPr>
        <w:t xml:space="preserve">comparative </w:t>
      </w:r>
      <w:r w:rsidRPr="00CA1FAA">
        <w:rPr>
          <w:rFonts w:ascii="Verdana" w:hAnsi="Verdana"/>
          <w:sz w:val="24"/>
          <w:szCs w:val="24"/>
        </w:rPr>
        <w:t>report</w:t>
      </w:r>
      <w:r>
        <w:rPr>
          <w:rFonts w:ascii="Verdana" w:hAnsi="Verdana"/>
          <w:sz w:val="24"/>
          <w:szCs w:val="24"/>
        </w:rPr>
        <w:t xml:space="preserve"> on employment</w:t>
      </w:r>
      <w:r w:rsidRPr="00CA1FAA">
        <w:rPr>
          <w:rFonts w:ascii="Verdana" w:hAnsi="Verdana"/>
          <w:sz w:val="24"/>
          <w:szCs w:val="24"/>
        </w:rPr>
        <w:t xml:space="preserve"> name</w:t>
      </w:r>
      <w:r>
        <w:rPr>
          <w:rFonts w:ascii="Verdana" w:hAnsi="Verdana"/>
          <w:sz w:val="24"/>
          <w:szCs w:val="24"/>
        </w:rPr>
        <w:t>d</w:t>
      </w:r>
      <w:r w:rsidRPr="00CA1FAA">
        <w:rPr>
          <w:rFonts w:ascii="Verdana" w:hAnsi="Verdana"/>
          <w:sz w:val="24"/>
          <w:szCs w:val="24"/>
        </w:rPr>
        <w:t xml:space="preserve"> Ireland as “leading the hall of shame</w:t>
      </w:r>
      <w:r>
        <w:rPr>
          <w:rFonts w:ascii="Verdana" w:hAnsi="Verdana"/>
          <w:sz w:val="24"/>
          <w:szCs w:val="24"/>
        </w:rPr>
        <w:t>.</w:t>
      </w:r>
      <w:r w:rsidRPr="00CA1FAA">
        <w:rPr>
          <w:rFonts w:ascii="Verdana" w:hAnsi="Verdana"/>
          <w:sz w:val="24"/>
          <w:szCs w:val="24"/>
        </w:rPr>
        <w:t>”</w:t>
      </w:r>
      <w:r>
        <w:rPr>
          <w:rStyle w:val="FootnoteReference"/>
          <w:rFonts w:ascii="Verdana" w:hAnsi="Verdana"/>
          <w:sz w:val="24"/>
          <w:szCs w:val="24"/>
        </w:rPr>
        <w:footnoteReference w:id="13"/>
      </w:r>
      <w:r w:rsidRPr="00E616A6">
        <w:rPr>
          <w:rFonts w:ascii="Verdana" w:hAnsi="Verdana"/>
          <w:sz w:val="24"/>
          <w:szCs w:val="24"/>
        </w:rPr>
        <w:t xml:space="preserve"> </w:t>
      </w:r>
      <w:r w:rsidR="0082335D">
        <w:rPr>
          <w:rFonts w:ascii="Verdana" w:hAnsi="Verdana"/>
          <w:sz w:val="24"/>
          <w:szCs w:val="24"/>
        </w:rPr>
        <w:t>S</w:t>
      </w:r>
      <w:r w:rsidR="00847BFE">
        <w:rPr>
          <w:rFonts w:ascii="Verdana" w:hAnsi="Verdana"/>
          <w:sz w:val="24"/>
          <w:szCs w:val="24"/>
        </w:rPr>
        <w:t>tudies from the OECD confirm this - highlighting that Ireland also has one of the lowest disability employment rates, and the largest employment gap</w:t>
      </w:r>
      <w:r w:rsidR="00B74977">
        <w:rPr>
          <w:rFonts w:ascii="Verdana" w:hAnsi="Verdana"/>
          <w:sz w:val="24"/>
          <w:szCs w:val="24"/>
        </w:rPr>
        <w:t>,</w:t>
      </w:r>
      <w:r w:rsidR="00847BFE">
        <w:rPr>
          <w:rFonts w:ascii="Verdana" w:hAnsi="Verdana"/>
          <w:sz w:val="24"/>
          <w:szCs w:val="24"/>
        </w:rPr>
        <w:t xml:space="preserve"> in the OECD</w:t>
      </w:r>
      <w:r w:rsidR="00B74977">
        <w:rPr>
          <w:rFonts w:ascii="Verdana" w:hAnsi="Verdana"/>
          <w:sz w:val="24"/>
          <w:szCs w:val="24"/>
        </w:rPr>
        <w:t xml:space="preserve"> -</w:t>
      </w:r>
      <w:r w:rsidR="00847BFE">
        <w:rPr>
          <w:rFonts w:ascii="Verdana" w:hAnsi="Verdana"/>
          <w:sz w:val="24"/>
          <w:szCs w:val="24"/>
        </w:rPr>
        <w:t xml:space="preserve"> as well as the worst poverty statistics in the grouping.</w:t>
      </w:r>
      <w:r w:rsidR="00847BFE">
        <w:rPr>
          <w:rStyle w:val="FootnoteReference"/>
          <w:rFonts w:ascii="Verdana" w:hAnsi="Verdana"/>
          <w:sz w:val="24"/>
          <w:szCs w:val="24"/>
        </w:rPr>
        <w:footnoteReference w:id="14"/>
      </w:r>
    </w:p>
    <w:p w14:paraId="78869A28" w14:textId="2C8C9484" w:rsidR="0040385F" w:rsidRDefault="0040385F" w:rsidP="0040385F">
      <w:pPr>
        <w:spacing w:line="276" w:lineRule="auto"/>
        <w:rPr>
          <w:rFonts w:ascii="Verdana" w:hAnsi="Verdana"/>
          <w:sz w:val="24"/>
          <w:szCs w:val="24"/>
        </w:rPr>
      </w:pPr>
      <w:r w:rsidRPr="00857CED">
        <w:rPr>
          <w:rFonts w:ascii="Verdana" w:hAnsi="Verdana"/>
          <w:sz w:val="24"/>
          <w:szCs w:val="24"/>
        </w:rPr>
        <w:t xml:space="preserve">A </w:t>
      </w:r>
      <w:r w:rsidR="00CF0304">
        <w:rPr>
          <w:rFonts w:ascii="Verdana" w:hAnsi="Verdana"/>
          <w:sz w:val="24"/>
          <w:szCs w:val="24"/>
        </w:rPr>
        <w:t xml:space="preserve">March 2023 </w:t>
      </w:r>
      <w:r>
        <w:rPr>
          <w:rFonts w:ascii="Verdana" w:hAnsi="Verdana"/>
          <w:sz w:val="24"/>
          <w:szCs w:val="24"/>
        </w:rPr>
        <w:t>NDA</w:t>
      </w:r>
      <w:r w:rsidRPr="00857CED">
        <w:rPr>
          <w:rFonts w:ascii="Verdana" w:hAnsi="Verdana"/>
          <w:sz w:val="24"/>
          <w:szCs w:val="24"/>
        </w:rPr>
        <w:t xml:space="preserve"> discussion paper</w:t>
      </w:r>
      <w:r w:rsidR="007E1299">
        <w:rPr>
          <w:rFonts w:ascii="Verdana" w:hAnsi="Verdana"/>
          <w:sz w:val="24"/>
          <w:szCs w:val="24"/>
        </w:rPr>
        <w:t xml:space="preserve"> </w:t>
      </w:r>
      <w:r w:rsidRPr="00857CED">
        <w:rPr>
          <w:rFonts w:ascii="Verdana" w:hAnsi="Verdana"/>
          <w:sz w:val="24"/>
          <w:szCs w:val="24"/>
        </w:rPr>
        <w:t xml:space="preserve">outlines how </w:t>
      </w:r>
      <w:r>
        <w:rPr>
          <w:rFonts w:ascii="Verdana" w:hAnsi="Verdana"/>
          <w:sz w:val="24"/>
          <w:szCs w:val="24"/>
        </w:rPr>
        <w:t xml:space="preserve">Ireland’s </w:t>
      </w:r>
      <w:r w:rsidRPr="00857CED">
        <w:rPr>
          <w:rFonts w:ascii="Verdana" w:hAnsi="Verdana"/>
          <w:sz w:val="24"/>
          <w:szCs w:val="24"/>
        </w:rPr>
        <w:t xml:space="preserve">disability employment gap </w:t>
      </w:r>
      <w:r>
        <w:rPr>
          <w:rFonts w:ascii="Verdana" w:hAnsi="Verdana"/>
          <w:sz w:val="24"/>
          <w:szCs w:val="24"/>
        </w:rPr>
        <w:t xml:space="preserve">- </w:t>
      </w:r>
      <w:r w:rsidRPr="00857CED">
        <w:rPr>
          <w:rFonts w:ascii="Verdana" w:hAnsi="Verdana"/>
          <w:sz w:val="24"/>
          <w:szCs w:val="24"/>
        </w:rPr>
        <w:t>37%</w:t>
      </w:r>
      <w:r>
        <w:rPr>
          <w:rFonts w:ascii="Verdana" w:hAnsi="Verdana"/>
          <w:sz w:val="24"/>
          <w:szCs w:val="24"/>
        </w:rPr>
        <w:t xml:space="preserve"> -</w:t>
      </w:r>
      <w:r w:rsidRPr="00857CED">
        <w:rPr>
          <w:rFonts w:ascii="Verdana" w:hAnsi="Verdana"/>
          <w:sz w:val="24"/>
          <w:szCs w:val="24"/>
        </w:rPr>
        <w:t xml:space="preserve"> </w:t>
      </w:r>
      <w:r w:rsidR="00904053">
        <w:rPr>
          <w:rFonts w:ascii="Verdana" w:hAnsi="Verdana"/>
          <w:sz w:val="24"/>
          <w:szCs w:val="24"/>
        </w:rPr>
        <w:t>is</w:t>
      </w:r>
      <w:r w:rsidRPr="00857CED">
        <w:rPr>
          <w:rFonts w:ascii="Verdana" w:hAnsi="Verdana"/>
          <w:sz w:val="24"/>
          <w:szCs w:val="24"/>
        </w:rPr>
        <w:t xml:space="preserve"> much higher than the EU average of 21%</w:t>
      </w:r>
      <w:r>
        <w:rPr>
          <w:rFonts w:ascii="Verdana" w:hAnsi="Verdana"/>
          <w:sz w:val="24"/>
          <w:szCs w:val="24"/>
        </w:rPr>
        <w:t>.</w:t>
      </w:r>
      <w:r>
        <w:rPr>
          <w:rStyle w:val="FootnoteReference"/>
          <w:rFonts w:ascii="Verdana" w:hAnsi="Verdana"/>
          <w:sz w:val="24"/>
          <w:szCs w:val="24"/>
        </w:rPr>
        <w:footnoteReference w:id="15"/>
      </w:r>
      <w:r>
        <w:rPr>
          <w:rFonts w:ascii="Verdana" w:hAnsi="Verdana"/>
          <w:sz w:val="24"/>
          <w:szCs w:val="24"/>
        </w:rPr>
        <w:t xml:space="preserve"> It </w:t>
      </w:r>
      <w:r w:rsidR="00CF0304">
        <w:rPr>
          <w:rFonts w:ascii="Verdana" w:hAnsi="Verdana"/>
          <w:sz w:val="24"/>
          <w:szCs w:val="24"/>
        </w:rPr>
        <w:t xml:space="preserve">also </w:t>
      </w:r>
      <w:r>
        <w:rPr>
          <w:rFonts w:ascii="Verdana" w:hAnsi="Verdana"/>
          <w:sz w:val="24"/>
          <w:szCs w:val="24"/>
        </w:rPr>
        <w:t>highlights Census 2022 data, according to which:</w:t>
      </w:r>
    </w:p>
    <w:p w14:paraId="5ED4F1C8" w14:textId="77777777" w:rsidR="0040385F" w:rsidRDefault="0040385F" w:rsidP="0040385F">
      <w:pPr>
        <w:pStyle w:val="ListParagraph"/>
        <w:numPr>
          <w:ilvl w:val="0"/>
          <w:numId w:val="27"/>
        </w:numPr>
        <w:spacing w:line="276" w:lineRule="auto"/>
        <w:rPr>
          <w:rFonts w:ascii="Verdana" w:hAnsi="Verdana"/>
          <w:sz w:val="24"/>
          <w:szCs w:val="24"/>
        </w:rPr>
      </w:pPr>
      <w:r>
        <w:rPr>
          <w:rFonts w:ascii="Verdana" w:hAnsi="Verdana"/>
          <w:sz w:val="24"/>
          <w:szCs w:val="24"/>
        </w:rPr>
        <w:t>The employment rate of people with disabilities is 49%, compared to that of those without disabilities of 71%.</w:t>
      </w:r>
    </w:p>
    <w:p w14:paraId="2A4C6C3C" w14:textId="77777777" w:rsidR="0040385F" w:rsidRDefault="0040385F" w:rsidP="0040385F">
      <w:pPr>
        <w:pStyle w:val="ListParagraph"/>
        <w:numPr>
          <w:ilvl w:val="0"/>
          <w:numId w:val="27"/>
        </w:numPr>
        <w:spacing w:line="276" w:lineRule="auto"/>
        <w:rPr>
          <w:rFonts w:ascii="Verdana" w:hAnsi="Verdana"/>
          <w:sz w:val="24"/>
          <w:szCs w:val="24"/>
        </w:rPr>
      </w:pPr>
      <w:r>
        <w:rPr>
          <w:rFonts w:ascii="Verdana" w:hAnsi="Verdana"/>
          <w:sz w:val="24"/>
          <w:szCs w:val="24"/>
        </w:rPr>
        <w:t>The employment rate of people with disabilities ‘to some extent’ is 60%.</w:t>
      </w:r>
    </w:p>
    <w:p w14:paraId="50E106D3" w14:textId="77777777" w:rsidR="0040385F" w:rsidRDefault="0040385F" w:rsidP="0040385F">
      <w:pPr>
        <w:pStyle w:val="ListParagraph"/>
        <w:numPr>
          <w:ilvl w:val="0"/>
          <w:numId w:val="27"/>
        </w:numPr>
        <w:spacing w:line="276" w:lineRule="auto"/>
        <w:rPr>
          <w:rFonts w:ascii="Verdana" w:hAnsi="Verdana"/>
          <w:sz w:val="24"/>
          <w:szCs w:val="24"/>
        </w:rPr>
      </w:pPr>
      <w:r>
        <w:rPr>
          <w:rFonts w:ascii="Verdana" w:hAnsi="Verdana"/>
          <w:sz w:val="24"/>
          <w:szCs w:val="24"/>
        </w:rPr>
        <w:lastRenderedPageBreak/>
        <w:t>The employment rate of people with disabilities ‘to a great extent’ is 27%.</w:t>
      </w:r>
      <w:r>
        <w:rPr>
          <w:rStyle w:val="FootnoteReference"/>
          <w:rFonts w:ascii="Verdana" w:hAnsi="Verdana"/>
          <w:sz w:val="24"/>
          <w:szCs w:val="24"/>
        </w:rPr>
        <w:footnoteReference w:id="16"/>
      </w:r>
    </w:p>
    <w:p w14:paraId="0A7E1159" w14:textId="514BC8B2" w:rsidR="008C7CC4" w:rsidRPr="008C7CC4" w:rsidRDefault="008C7CC4" w:rsidP="008C7CC4">
      <w:pPr>
        <w:spacing w:line="276" w:lineRule="auto"/>
        <w:rPr>
          <w:rFonts w:ascii="Verdana" w:hAnsi="Verdana"/>
          <w:sz w:val="24"/>
          <w:szCs w:val="24"/>
        </w:rPr>
      </w:pPr>
      <w:r w:rsidRPr="008C7CC4">
        <w:rPr>
          <w:rFonts w:ascii="Verdana" w:hAnsi="Verdana"/>
          <w:sz w:val="24"/>
          <w:szCs w:val="24"/>
        </w:rPr>
        <w:t>The EU Commission</w:t>
      </w:r>
      <w:r w:rsidR="00D55851">
        <w:rPr>
          <w:rFonts w:ascii="Verdana" w:hAnsi="Verdana"/>
          <w:sz w:val="24"/>
          <w:szCs w:val="24"/>
        </w:rPr>
        <w:t>’s</w:t>
      </w:r>
      <w:r w:rsidRPr="008C7CC4">
        <w:rPr>
          <w:rFonts w:ascii="Verdana" w:hAnsi="Verdana"/>
          <w:sz w:val="24"/>
          <w:szCs w:val="24"/>
        </w:rPr>
        <w:t xml:space="preserve"> 2024 Country Specific Report (CSR)</w:t>
      </w:r>
      <w:r w:rsidR="00631962">
        <w:rPr>
          <w:rFonts w:ascii="Verdana" w:hAnsi="Verdana"/>
          <w:sz w:val="24"/>
          <w:szCs w:val="24"/>
        </w:rPr>
        <w:t xml:space="preserve"> also</w:t>
      </w:r>
      <w:r w:rsidRPr="008C7CC4">
        <w:rPr>
          <w:rFonts w:ascii="Verdana" w:hAnsi="Verdana"/>
          <w:sz w:val="24"/>
          <w:szCs w:val="24"/>
        </w:rPr>
        <w:t xml:space="preserve"> emphasises the very low employment rates, with this being </w:t>
      </w:r>
      <w:r w:rsidRPr="00BF0570">
        <w:rPr>
          <w:rFonts w:ascii="Verdana" w:hAnsi="Verdana"/>
          <w:b/>
          <w:bCs/>
          <w:sz w:val="24"/>
          <w:szCs w:val="24"/>
        </w:rPr>
        <w:t>the only indicator (out of a total of 17) on Ireland’s social scoreboard marked red (critical situation)</w:t>
      </w:r>
      <w:r w:rsidRPr="008C7CC4">
        <w:rPr>
          <w:rFonts w:ascii="Verdana" w:hAnsi="Verdana"/>
          <w:sz w:val="24"/>
          <w:szCs w:val="24"/>
        </w:rPr>
        <w:t xml:space="preserve">. </w:t>
      </w:r>
      <w:r w:rsidR="00BF0570">
        <w:rPr>
          <w:rFonts w:ascii="Verdana" w:hAnsi="Verdana"/>
          <w:sz w:val="24"/>
          <w:szCs w:val="24"/>
        </w:rPr>
        <w:t xml:space="preserve">It </w:t>
      </w:r>
      <w:r w:rsidR="00870DE7">
        <w:rPr>
          <w:rFonts w:ascii="Verdana" w:hAnsi="Verdana"/>
          <w:sz w:val="24"/>
          <w:szCs w:val="24"/>
        </w:rPr>
        <w:t xml:space="preserve">also </w:t>
      </w:r>
      <w:r w:rsidR="008D0B4B">
        <w:rPr>
          <w:rFonts w:ascii="Verdana" w:hAnsi="Verdana"/>
          <w:sz w:val="24"/>
          <w:szCs w:val="24"/>
        </w:rPr>
        <w:t xml:space="preserve">highlights </w:t>
      </w:r>
      <w:r w:rsidRPr="008C7CC4">
        <w:rPr>
          <w:rFonts w:ascii="Verdana" w:hAnsi="Verdana"/>
          <w:sz w:val="24"/>
          <w:szCs w:val="24"/>
        </w:rPr>
        <w:t>Ireland’s disability employment gap</w:t>
      </w:r>
      <w:r w:rsidR="008D0B4B">
        <w:rPr>
          <w:rFonts w:ascii="Verdana" w:hAnsi="Verdana"/>
          <w:sz w:val="24"/>
          <w:szCs w:val="24"/>
        </w:rPr>
        <w:t xml:space="preserve">, </w:t>
      </w:r>
      <w:r w:rsidR="00D477F2">
        <w:rPr>
          <w:rFonts w:ascii="Verdana" w:hAnsi="Verdana"/>
          <w:sz w:val="24"/>
          <w:szCs w:val="24"/>
        </w:rPr>
        <w:t>noting</w:t>
      </w:r>
      <w:r w:rsidR="008D0B4B">
        <w:rPr>
          <w:rFonts w:ascii="Verdana" w:hAnsi="Verdana"/>
          <w:sz w:val="24"/>
          <w:szCs w:val="24"/>
        </w:rPr>
        <w:t xml:space="preserve"> </w:t>
      </w:r>
      <w:r w:rsidR="00870DE7">
        <w:rPr>
          <w:rFonts w:ascii="Verdana" w:hAnsi="Verdana"/>
          <w:sz w:val="24"/>
          <w:szCs w:val="24"/>
        </w:rPr>
        <w:t xml:space="preserve">that </w:t>
      </w:r>
      <w:r w:rsidR="008D0B4B">
        <w:rPr>
          <w:rFonts w:ascii="Verdana" w:hAnsi="Verdana"/>
          <w:sz w:val="24"/>
          <w:szCs w:val="24"/>
        </w:rPr>
        <w:t>d</w:t>
      </w:r>
      <w:r w:rsidRPr="008C7CC4">
        <w:rPr>
          <w:rFonts w:ascii="Verdana" w:hAnsi="Verdana"/>
          <w:sz w:val="24"/>
          <w:szCs w:val="24"/>
        </w:rPr>
        <w:t>isabled people face “significant labour market challenges, even though they are an untapped source of labour</w:t>
      </w:r>
      <w:r w:rsidR="00FF29F8">
        <w:rPr>
          <w:rFonts w:ascii="Verdana" w:hAnsi="Verdana"/>
          <w:sz w:val="24"/>
          <w:szCs w:val="24"/>
        </w:rPr>
        <w:t>.</w:t>
      </w:r>
      <w:r w:rsidRPr="008C7CC4">
        <w:rPr>
          <w:rFonts w:ascii="Verdana" w:hAnsi="Verdana"/>
          <w:sz w:val="24"/>
          <w:szCs w:val="24"/>
        </w:rPr>
        <w:t>”</w:t>
      </w:r>
      <w:r w:rsidR="00FF29F8">
        <w:rPr>
          <w:rStyle w:val="FootnoteReference"/>
          <w:rFonts w:ascii="Verdana" w:hAnsi="Verdana"/>
          <w:sz w:val="24"/>
          <w:szCs w:val="24"/>
        </w:rPr>
        <w:footnoteReference w:id="17"/>
      </w:r>
      <w:r w:rsidRPr="008C7CC4">
        <w:rPr>
          <w:rFonts w:ascii="Verdana" w:hAnsi="Verdana"/>
          <w:sz w:val="24"/>
          <w:szCs w:val="24"/>
        </w:rPr>
        <w:t xml:space="preserve"> </w:t>
      </w:r>
    </w:p>
    <w:p w14:paraId="040C0DB9" w14:textId="3B377D80" w:rsidR="008C7CC4" w:rsidRPr="008C7CC4" w:rsidRDefault="00C67A7C" w:rsidP="008C7CC4">
      <w:pPr>
        <w:spacing w:line="276" w:lineRule="auto"/>
        <w:rPr>
          <w:rFonts w:ascii="Verdana" w:hAnsi="Verdana"/>
          <w:sz w:val="24"/>
          <w:szCs w:val="24"/>
        </w:rPr>
      </w:pPr>
      <w:r>
        <w:rPr>
          <w:rFonts w:ascii="Verdana" w:hAnsi="Verdana"/>
          <w:sz w:val="24"/>
          <w:szCs w:val="24"/>
        </w:rPr>
        <w:t>The report</w:t>
      </w:r>
      <w:r w:rsidR="00502561">
        <w:rPr>
          <w:rFonts w:ascii="Verdana" w:hAnsi="Verdana"/>
          <w:sz w:val="24"/>
          <w:szCs w:val="24"/>
        </w:rPr>
        <w:t xml:space="preserve"> </w:t>
      </w:r>
      <w:r>
        <w:rPr>
          <w:rFonts w:ascii="Verdana" w:hAnsi="Verdana"/>
          <w:sz w:val="24"/>
          <w:szCs w:val="24"/>
        </w:rPr>
        <w:t xml:space="preserve">observes </w:t>
      </w:r>
      <w:r w:rsidR="00F35C41">
        <w:rPr>
          <w:rFonts w:ascii="Verdana" w:hAnsi="Verdana"/>
          <w:sz w:val="24"/>
          <w:szCs w:val="24"/>
        </w:rPr>
        <w:t>“t</w:t>
      </w:r>
      <w:r w:rsidR="00F35C41" w:rsidRPr="00F35C41">
        <w:rPr>
          <w:rFonts w:ascii="Verdana" w:hAnsi="Verdana"/>
          <w:sz w:val="24"/>
          <w:szCs w:val="24"/>
        </w:rPr>
        <w:t>here is ample</w:t>
      </w:r>
      <w:r w:rsidR="00F35C41">
        <w:rPr>
          <w:rFonts w:ascii="Verdana" w:hAnsi="Verdana"/>
          <w:sz w:val="24"/>
          <w:szCs w:val="24"/>
        </w:rPr>
        <w:t xml:space="preserve"> </w:t>
      </w:r>
      <w:r w:rsidR="00F35C41" w:rsidRPr="00F35C41">
        <w:rPr>
          <w:rFonts w:ascii="Verdana" w:hAnsi="Verdana"/>
          <w:sz w:val="24"/>
          <w:szCs w:val="24"/>
        </w:rPr>
        <w:t>evidence of discrimination at work, and the</w:t>
      </w:r>
      <w:r w:rsidR="00F35C41">
        <w:rPr>
          <w:rFonts w:ascii="Verdana" w:hAnsi="Verdana"/>
          <w:sz w:val="24"/>
          <w:szCs w:val="24"/>
        </w:rPr>
        <w:t xml:space="preserve"> </w:t>
      </w:r>
      <w:r w:rsidR="00F35C41" w:rsidRPr="00F35C41">
        <w:rPr>
          <w:rFonts w:ascii="Verdana" w:hAnsi="Verdana"/>
          <w:sz w:val="24"/>
          <w:szCs w:val="24"/>
        </w:rPr>
        <w:t>jobs available to persons with disabilities are</w:t>
      </w:r>
      <w:r w:rsidR="00F35C41">
        <w:rPr>
          <w:rFonts w:ascii="Verdana" w:hAnsi="Verdana"/>
          <w:sz w:val="24"/>
          <w:szCs w:val="24"/>
        </w:rPr>
        <w:t xml:space="preserve"> </w:t>
      </w:r>
      <w:r w:rsidR="00F35C41" w:rsidRPr="00F35C41">
        <w:rPr>
          <w:rFonts w:ascii="Verdana" w:hAnsi="Verdana"/>
          <w:sz w:val="24"/>
          <w:szCs w:val="24"/>
        </w:rPr>
        <w:t>often inadequate to lift them out of</w:t>
      </w:r>
      <w:r w:rsidR="00F35C41">
        <w:rPr>
          <w:rFonts w:ascii="Verdana" w:hAnsi="Verdana"/>
          <w:sz w:val="24"/>
          <w:szCs w:val="24"/>
        </w:rPr>
        <w:t xml:space="preserve"> </w:t>
      </w:r>
      <w:r w:rsidR="00F35C41" w:rsidRPr="00F35C41">
        <w:rPr>
          <w:rFonts w:ascii="Verdana" w:hAnsi="Verdana"/>
          <w:sz w:val="24"/>
          <w:szCs w:val="24"/>
        </w:rPr>
        <w:t>poverty.</w:t>
      </w:r>
      <w:r w:rsidR="00F35C41">
        <w:rPr>
          <w:rFonts w:ascii="Verdana" w:hAnsi="Verdana"/>
          <w:sz w:val="24"/>
          <w:szCs w:val="24"/>
        </w:rPr>
        <w:t xml:space="preserve"> </w:t>
      </w:r>
      <w:r w:rsidR="00F35C41" w:rsidRPr="00F35C41">
        <w:rPr>
          <w:rFonts w:ascii="Verdana" w:hAnsi="Verdana"/>
          <w:sz w:val="24"/>
          <w:szCs w:val="24"/>
        </w:rPr>
        <w:t>Fear of losing the disability benefits frequently</w:t>
      </w:r>
      <w:r w:rsidR="00F35C41">
        <w:rPr>
          <w:rFonts w:ascii="Verdana" w:hAnsi="Verdana"/>
          <w:sz w:val="24"/>
          <w:szCs w:val="24"/>
        </w:rPr>
        <w:t xml:space="preserve"> </w:t>
      </w:r>
      <w:r w:rsidR="00F35C41" w:rsidRPr="00F35C41">
        <w:rPr>
          <w:rFonts w:ascii="Verdana" w:hAnsi="Verdana"/>
          <w:sz w:val="24"/>
          <w:szCs w:val="24"/>
        </w:rPr>
        <w:t>prevents people from entering work</w:t>
      </w:r>
      <w:r w:rsidR="00F35C41">
        <w:rPr>
          <w:rFonts w:ascii="Verdana" w:hAnsi="Verdana"/>
          <w:sz w:val="24"/>
          <w:szCs w:val="24"/>
        </w:rPr>
        <w:t>.”</w:t>
      </w:r>
      <w:r w:rsidR="00F35C41">
        <w:rPr>
          <w:rStyle w:val="FootnoteReference"/>
          <w:rFonts w:ascii="Verdana" w:hAnsi="Verdana"/>
          <w:sz w:val="24"/>
          <w:szCs w:val="24"/>
        </w:rPr>
        <w:footnoteReference w:id="18"/>
      </w:r>
      <w:r w:rsidR="00D477F2">
        <w:rPr>
          <w:rFonts w:ascii="Verdana" w:hAnsi="Verdana"/>
          <w:sz w:val="24"/>
          <w:szCs w:val="24"/>
        </w:rPr>
        <w:t xml:space="preserve"> </w:t>
      </w:r>
      <w:r w:rsidR="00D25E58">
        <w:rPr>
          <w:rFonts w:ascii="Verdana" w:hAnsi="Verdana"/>
          <w:sz w:val="24"/>
          <w:szCs w:val="24"/>
        </w:rPr>
        <w:t xml:space="preserve">The report also highlights </w:t>
      </w:r>
      <w:r w:rsidR="00F415DA">
        <w:rPr>
          <w:rFonts w:ascii="Verdana" w:hAnsi="Verdana"/>
          <w:sz w:val="24"/>
          <w:szCs w:val="24"/>
        </w:rPr>
        <w:t>that</w:t>
      </w:r>
      <w:r w:rsidR="00D25E58">
        <w:rPr>
          <w:rFonts w:ascii="Verdana" w:hAnsi="Verdana"/>
          <w:sz w:val="24"/>
          <w:szCs w:val="24"/>
        </w:rPr>
        <w:t xml:space="preserve"> w</w:t>
      </w:r>
      <w:r w:rsidR="008C7CC4" w:rsidRPr="008C7CC4">
        <w:rPr>
          <w:rFonts w:ascii="Verdana" w:hAnsi="Verdana"/>
          <w:sz w:val="24"/>
          <w:szCs w:val="24"/>
        </w:rPr>
        <w:t>hile 83% of graduates are in employment 9 months after graduating, the rate for graduates with disabilities is 69%</w:t>
      </w:r>
      <w:r w:rsidR="00534511">
        <w:rPr>
          <w:rFonts w:ascii="Verdana" w:hAnsi="Verdana"/>
          <w:sz w:val="24"/>
          <w:szCs w:val="24"/>
        </w:rPr>
        <w:t xml:space="preserve"> - and this</w:t>
      </w:r>
      <w:r w:rsidR="008C7CC4" w:rsidRPr="008C7CC4">
        <w:rPr>
          <w:rFonts w:ascii="Verdana" w:hAnsi="Verdana"/>
          <w:sz w:val="24"/>
          <w:szCs w:val="24"/>
        </w:rPr>
        <w:t xml:space="preserve"> rang</w:t>
      </w:r>
      <w:r w:rsidR="00534511">
        <w:rPr>
          <w:rFonts w:ascii="Verdana" w:hAnsi="Verdana"/>
          <w:sz w:val="24"/>
          <w:szCs w:val="24"/>
        </w:rPr>
        <w:t>es</w:t>
      </w:r>
      <w:r w:rsidR="008C7CC4" w:rsidRPr="008C7CC4">
        <w:rPr>
          <w:rFonts w:ascii="Verdana" w:hAnsi="Verdana"/>
          <w:sz w:val="24"/>
          <w:szCs w:val="24"/>
        </w:rPr>
        <w:t xml:space="preserve"> from 57% to 74% depending on the nature of the disability</w:t>
      </w:r>
      <w:r w:rsidR="00B204E6">
        <w:rPr>
          <w:rFonts w:ascii="Verdana" w:hAnsi="Verdana"/>
          <w:sz w:val="24"/>
          <w:szCs w:val="24"/>
        </w:rPr>
        <w:t>.</w:t>
      </w:r>
      <w:r w:rsidR="00534511">
        <w:rPr>
          <w:rStyle w:val="FootnoteReference"/>
          <w:rFonts w:ascii="Verdana" w:hAnsi="Verdana"/>
          <w:sz w:val="24"/>
          <w:szCs w:val="24"/>
        </w:rPr>
        <w:footnoteReference w:id="19"/>
      </w:r>
      <w:r w:rsidR="008C7CC4" w:rsidRPr="008C7CC4">
        <w:rPr>
          <w:rFonts w:ascii="Verdana" w:hAnsi="Verdana"/>
          <w:sz w:val="24"/>
          <w:szCs w:val="24"/>
        </w:rPr>
        <w:t xml:space="preserve"> </w:t>
      </w:r>
    </w:p>
    <w:p w14:paraId="5D771DE4" w14:textId="16FC8106" w:rsidR="008C7CC4" w:rsidRPr="008C7CC4" w:rsidRDefault="008C7CC4" w:rsidP="008C7CC4">
      <w:pPr>
        <w:spacing w:line="276" w:lineRule="auto"/>
        <w:rPr>
          <w:rFonts w:ascii="Verdana" w:hAnsi="Verdana"/>
          <w:sz w:val="24"/>
          <w:szCs w:val="24"/>
        </w:rPr>
      </w:pPr>
      <w:r w:rsidRPr="008C7CC4">
        <w:rPr>
          <w:rFonts w:ascii="Verdana" w:hAnsi="Verdana"/>
          <w:sz w:val="24"/>
          <w:szCs w:val="24"/>
        </w:rPr>
        <w:t>The Commission also</w:t>
      </w:r>
      <w:r w:rsidR="00853C40">
        <w:rPr>
          <w:rFonts w:ascii="Verdana" w:hAnsi="Verdana"/>
          <w:sz w:val="24"/>
          <w:szCs w:val="24"/>
        </w:rPr>
        <w:t xml:space="preserve"> highlights </w:t>
      </w:r>
      <w:r w:rsidR="00853C40" w:rsidRPr="00CA26A8">
        <w:rPr>
          <w:rFonts w:ascii="Verdana" w:hAnsi="Verdana"/>
          <w:b/>
          <w:bCs/>
          <w:sz w:val="24"/>
          <w:szCs w:val="24"/>
        </w:rPr>
        <w:t xml:space="preserve">how </w:t>
      </w:r>
      <w:r w:rsidRPr="00CA26A8">
        <w:rPr>
          <w:rFonts w:ascii="Verdana" w:hAnsi="Verdana"/>
          <w:b/>
          <w:bCs/>
          <w:sz w:val="24"/>
          <w:szCs w:val="24"/>
        </w:rPr>
        <w:t>in 2022 the at-risk-of-poverty or social exclusion rate for people with disabilities increased to 39.5%</w:t>
      </w:r>
      <w:r w:rsidR="006E0813" w:rsidRPr="00CA26A8">
        <w:rPr>
          <w:rFonts w:ascii="Verdana" w:hAnsi="Verdana"/>
          <w:b/>
          <w:bCs/>
          <w:sz w:val="24"/>
          <w:szCs w:val="24"/>
        </w:rPr>
        <w:t xml:space="preserve"> - </w:t>
      </w:r>
      <w:r w:rsidRPr="00CA26A8">
        <w:rPr>
          <w:rFonts w:ascii="Verdana" w:hAnsi="Verdana"/>
          <w:b/>
          <w:bCs/>
          <w:sz w:val="24"/>
          <w:szCs w:val="24"/>
        </w:rPr>
        <w:t>twice that of the total population</w:t>
      </w:r>
      <w:r w:rsidR="00D557AD">
        <w:rPr>
          <w:rFonts w:ascii="Verdana" w:hAnsi="Verdana"/>
          <w:sz w:val="24"/>
          <w:szCs w:val="24"/>
        </w:rPr>
        <w:t xml:space="preserve">. </w:t>
      </w:r>
      <w:r w:rsidR="00027180">
        <w:rPr>
          <w:rFonts w:ascii="Verdana" w:hAnsi="Verdana"/>
          <w:sz w:val="24"/>
          <w:szCs w:val="24"/>
        </w:rPr>
        <w:t xml:space="preserve">The </w:t>
      </w:r>
      <w:r w:rsidR="00901E6F">
        <w:rPr>
          <w:rFonts w:ascii="Verdana" w:hAnsi="Verdana"/>
          <w:sz w:val="24"/>
          <w:szCs w:val="24"/>
        </w:rPr>
        <w:t>C</w:t>
      </w:r>
      <w:r w:rsidR="00027180">
        <w:rPr>
          <w:rFonts w:ascii="Verdana" w:hAnsi="Verdana"/>
          <w:sz w:val="24"/>
          <w:szCs w:val="24"/>
        </w:rPr>
        <w:t xml:space="preserve">ommission recommends that </w:t>
      </w:r>
      <w:r w:rsidR="00C0290F">
        <w:rPr>
          <w:rFonts w:ascii="Verdana" w:hAnsi="Verdana"/>
          <w:sz w:val="24"/>
          <w:szCs w:val="24"/>
        </w:rPr>
        <w:t>“i</w:t>
      </w:r>
      <w:r w:rsidRPr="008C7CC4">
        <w:rPr>
          <w:rFonts w:ascii="Verdana" w:hAnsi="Verdana"/>
          <w:sz w:val="24"/>
          <w:szCs w:val="24"/>
        </w:rPr>
        <w:t>ndexing welfare payments could help Ireland reach the national 2030 target of 90,000 fewer people at risk of poverty or social exclusion (AROPE)</w:t>
      </w:r>
      <w:r w:rsidR="00583F01">
        <w:rPr>
          <w:rFonts w:ascii="Verdana" w:hAnsi="Verdana"/>
          <w:sz w:val="24"/>
          <w:szCs w:val="24"/>
        </w:rPr>
        <w:t>.</w:t>
      </w:r>
      <w:r w:rsidR="00CA1640">
        <w:rPr>
          <w:rFonts w:ascii="Verdana" w:hAnsi="Verdana"/>
          <w:sz w:val="24"/>
          <w:szCs w:val="24"/>
        </w:rPr>
        <w:t>”</w:t>
      </w:r>
      <w:r w:rsidR="00CA1640">
        <w:rPr>
          <w:rStyle w:val="FootnoteReference"/>
          <w:rFonts w:ascii="Verdana" w:hAnsi="Verdana"/>
          <w:sz w:val="24"/>
          <w:szCs w:val="24"/>
        </w:rPr>
        <w:footnoteReference w:id="20"/>
      </w:r>
      <w:r w:rsidRPr="008C7CC4">
        <w:rPr>
          <w:rFonts w:ascii="Verdana" w:hAnsi="Verdana"/>
          <w:sz w:val="24"/>
          <w:szCs w:val="24"/>
        </w:rPr>
        <w:t xml:space="preserve"> </w:t>
      </w:r>
    </w:p>
    <w:p w14:paraId="572CD3C1" w14:textId="60F426C0" w:rsidR="00993651" w:rsidRPr="00993651" w:rsidRDefault="00F82D69" w:rsidP="00EC76EC">
      <w:pPr>
        <w:spacing w:line="276" w:lineRule="auto"/>
        <w:rPr>
          <w:rFonts w:ascii="Verdana" w:hAnsi="Verdana" w:cstheme="minorHAnsi"/>
          <w:sz w:val="24"/>
          <w:szCs w:val="24"/>
        </w:rPr>
      </w:pPr>
      <w:r>
        <w:rPr>
          <w:rFonts w:ascii="Verdana" w:hAnsi="Verdana" w:cstheme="minorHAnsi"/>
          <w:sz w:val="24"/>
          <w:szCs w:val="24"/>
        </w:rPr>
        <w:t>T</w:t>
      </w:r>
      <w:r w:rsidR="00B5108A" w:rsidRPr="00B5108A">
        <w:rPr>
          <w:rFonts w:ascii="Verdana" w:hAnsi="Verdana" w:cstheme="minorHAnsi"/>
          <w:sz w:val="24"/>
          <w:szCs w:val="24"/>
        </w:rPr>
        <w:t>he Commission also observers that “t</w:t>
      </w:r>
      <w:r w:rsidR="00982790" w:rsidRPr="00B5108A">
        <w:rPr>
          <w:rFonts w:ascii="Verdana" w:hAnsi="Verdana" w:cstheme="minorHAnsi"/>
          <w:sz w:val="24"/>
          <w:szCs w:val="24"/>
        </w:rPr>
        <w:t>here are major weaknesses in getting vulnerable groups into</w:t>
      </w:r>
      <w:r w:rsidR="00B5108A" w:rsidRPr="00B5108A">
        <w:rPr>
          <w:rFonts w:ascii="Verdana" w:hAnsi="Verdana" w:cstheme="minorHAnsi"/>
          <w:sz w:val="24"/>
          <w:szCs w:val="24"/>
        </w:rPr>
        <w:t xml:space="preserve"> </w:t>
      </w:r>
      <w:r w:rsidR="00982790" w:rsidRPr="00B5108A">
        <w:rPr>
          <w:rFonts w:ascii="Verdana" w:hAnsi="Verdana" w:cstheme="minorHAnsi"/>
          <w:sz w:val="24"/>
          <w:szCs w:val="24"/>
        </w:rPr>
        <w:t>work or training; they face disproportionately high poverty risks and social exclusion</w:t>
      </w:r>
      <w:r w:rsidR="002461B5">
        <w:rPr>
          <w:rFonts w:ascii="Verdana" w:hAnsi="Verdana" w:cstheme="minorHAnsi"/>
          <w:sz w:val="24"/>
          <w:szCs w:val="24"/>
        </w:rPr>
        <w:t>.</w:t>
      </w:r>
      <w:r w:rsidR="00C75D64">
        <w:rPr>
          <w:rFonts w:ascii="Verdana" w:hAnsi="Verdana" w:cstheme="minorHAnsi"/>
          <w:sz w:val="24"/>
          <w:szCs w:val="24"/>
        </w:rPr>
        <w:t>”</w:t>
      </w:r>
      <w:r w:rsidR="00C75D64">
        <w:rPr>
          <w:rStyle w:val="FootnoteReference"/>
          <w:rFonts w:ascii="Verdana" w:hAnsi="Verdana" w:cstheme="minorHAnsi"/>
          <w:sz w:val="24"/>
          <w:szCs w:val="24"/>
        </w:rPr>
        <w:footnoteReference w:id="21"/>
      </w:r>
      <w:r w:rsidR="00F87512">
        <w:rPr>
          <w:rFonts w:ascii="Verdana" w:hAnsi="Verdana" w:cstheme="minorHAnsi"/>
          <w:sz w:val="24"/>
          <w:szCs w:val="24"/>
        </w:rPr>
        <w:t xml:space="preserve"> Once again, the EU Commission echo</w:t>
      </w:r>
      <w:r w:rsidR="00F40646">
        <w:rPr>
          <w:rFonts w:ascii="Verdana" w:hAnsi="Verdana" w:cstheme="minorHAnsi"/>
          <w:sz w:val="24"/>
          <w:szCs w:val="24"/>
        </w:rPr>
        <w:t>es</w:t>
      </w:r>
      <w:r w:rsidR="00F87512">
        <w:rPr>
          <w:rFonts w:ascii="Verdana" w:hAnsi="Verdana" w:cstheme="minorHAnsi"/>
          <w:sz w:val="24"/>
          <w:szCs w:val="24"/>
        </w:rPr>
        <w:t xml:space="preserve"> </w:t>
      </w:r>
      <w:proofErr w:type="gramStart"/>
      <w:r w:rsidR="00F87512">
        <w:rPr>
          <w:rFonts w:ascii="Verdana" w:hAnsi="Verdana" w:cstheme="minorHAnsi"/>
          <w:sz w:val="24"/>
          <w:szCs w:val="24"/>
        </w:rPr>
        <w:t>concerns</w:t>
      </w:r>
      <w:proofErr w:type="gramEnd"/>
      <w:r w:rsidR="00F87512">
        <w:rPr>
          <w:rFonts w:ascii="Verdana" w:hAnsi="Verdana" w:cstheme="minorHAnsi"/>
          <w:sz w:val="24"/>
          <w:szCs w:val="24"/>
        </w:rPr>
        <w:t xml:space="preserve"> DFI has voiced for years, that the way to reduce disability poverty is through increased social protection</w:t>
      </w:r>
      <w:r w:rsidR="00AD48D7">
        <w:rPr>
          <w:rFonts w:ascii="Verdana" w:hAnsi="Verdana" w:cstheme="minorHAnsi"/>
          <w:sz w:val="24"/>
          <w:szCs w:val="24"/>
        </w:rPr>
        <w:t xml:space="preserve">, decoupling secondary benefits from employment status, and </w:t>
      </w:r>
      <w:r w:rsidR="001D7697">
        <w:rPr>
          <w:rFonts w:ascii="Verdana" w:hAnsi="Verdana" w:cstheme="minorHAnsi"/>
          <w:sz w:val="24"/>
          <w:szCs w:val="24"/>
        </w:rPr>
        <w:t>addressing other structural barriers to employment</w:t>
      </w:r>
      <w:r w:rsidR="00F87512">
        <w:rPr>
          <w:rFonts w:ascii="Verdana" w:hAnsi="Verdana" w:cstheme="minorHAnsi"/>
          <w:sz w:val="24"/>
          <w:szCs w:val="24"/>
        </w:rPr>
        <w:t xml:space="preserve">. </w:t>
      </w:r>
    </w:p>
    <w:p w14:paraId="2AEDAC73" w14:textId="622A85C8" w:rsidR="00F91C3F" w:rsidRPr="00F5696B" w:rsidRDefault="00A83FA1" w:rsidP="00F5696B">
      <w:pPr>
        <w:pStyle w:val="Heading1"/>
        <w:rPr>
          <w:sz w:val="24"/>
          <w:szCs w:val="24"/>
        </w:rPr>
      </w:pPr>
      <w:bookmarkStart w:id="9" w:name="_Toc171069201"/>
      <w:r w:rsidRPr="00F5696B">
        <w:rPr>
          <w:sz w:val="24"/>
          <w:szCs w:val="24"/>
        </w:rPr>
        <w:t xml:space="preserve">No </w:t>
      </w:r>
      <w:r w:rsidR="00383D8A" w:rsidRPr="00F5696B">
        <w:rPr>
          <w:sz w:val="24"/>
          <w:szCs w:val="24"/>
        </w:rPr>
        <w:t>R</w:t>
      </w:r>
      <w:r w:rsidRPr="00F5696B">
        <w:rPr>
          <w:sz w:val="24"/>
          <w:szCs w:val="24"/>
        </w:rPr>
        <w:t>eal</w:t>
      </w:r>
      <w:r w:rsidR="00D05BF8" w:rsidRPr="00F5696B">
        <w:rPr>
          <w:sz w:val="24"/>
          <w:szCs w:val="24"/>
        </w:rPr>
        <w:t xml:space="preserve"> Progress on</w:t>
      </w:r>
      <w:r w:rsidR="000F20C2" w:rsidRPr="00F5696B">
        <w:rPr>
          <w:sz w:val="24"/>
          <w:szCs w:val="24"/>
        </w:rPr>
        <w:t xml:space="preserve"> Significant </w:t>
      </w:r>
      <w:r w:rsidR="004F3C09" w:rsidRPr="00F5696B">
        <w:rPr>
          <w:sz w:val="24"/>
          <w:szCs w:val="24"/>
        </w:rPr>
        <w:t xml:space="preserve">Extra </w:t>
      </w:r>
      <w:r w:rsidR="00F91C3F" w:rsidRPr="00F5696B">
        <w:rPr>
          <w:sz w:val="24"/>
          <w:szCs w:val="24"/>
        </w:rPr>
        <w:t>Cost of Disability</w:t>
      </w:r>
      <w:bookmarkEnd w:id="9"/>
      <w:r w:rsidR="00F91C3F" w:rsidRPr="00F5696B">
        <w:rPr>
          <w:sz w:val="24"/>
          <w:szCs w:val="24"/>
        </w:rPr>
        <w:t xml:space="preserve"> </w:t>
      </w:r>
    </w:p>
    <w:p w14:paraId="3BC2ADAE" w14:textId="7727CBCA" w:rsidR="00883045" w:rsidRDefault="00EB5C93" w:rsidP="00263301">
      <w:pPr>
        <w:rPr>
          <w:rFonts w:ascii="Verdana" w:hAnsi="Verdana" w:cstheme="minorHAnsi"/>
          <w:sz w:val="24"/>
          <w:szCs w:val="24"/>
        </w:rPr>
      </w:pPr>
      <w:r w:rsidRPr="5F07FF00">
        <w:rPr>
          <w:rFonts w:ascii="Verdana" w:hAnsi="Verdana"/>
          <w:sz w:val="24"/>
          <w:szCs w:val="24"/>
        </w:rPr>
        <w:t>An ongoing issue that perpetuates</w:t>
      </w:r>
      <w:r w:rsidR="0091536F">
        <w:rPr>
          <w:rFonts w:ascii="Verdana" w:hAnsi="Verdana"/>
          <w:sz w:val="24"/>
          <w:szCs w:val="24"/>
        </w:rPr>
        <w:t xml:space="preserve"> disability</w:t>
      </w:r>
      <w:r w:rsidRPr="5F07FF00">
        <w:rPr>
          <w:rFonts w:ascii="Verdana" w:hAnsi="Verdana"/>
          <w:sz w:val="24"/>
          <w:szCs w:val="24"/>
        </w:rPr>
        <w:t xml:space="preserve"> poverty is the </w:t>
      </w:r>
      <w:r w:rsidR="004D33F1">
        <w:rPr>
          <w:rFonts w:ascii="Verdana" w:hAnsi="Verdana"/>
          <w:sz w:val="24"/>
          <w:szCs w:val="24"/>
        </w:rPr>
        <w:t>extra</w:t>
      </w:r>
      <w:r w:rsidRPr="5F07FF00">
        <w:rPr>
          <w:rFonts w:ascii="Verdana" w:hAnsi="Verdana"/>
          <w:sz w:val="24"/>
          <w:szCs w:val="24"/>
        </w:rPr>
        <w:t xml:space="preserve"> </w:t>
      </w:r>
      <w:r w:rsidR="001D7697">
        <w:rPr>
          <w:rFonts w:ascii="Verdana" w:hAnsi="Verdana"/>
          <w:sz w:val="24"/>
          <w:szCs w:val="24"/>
        </w:rPr>
        <w:t>C</w:t>
      </w:r>
      <w:r w:rsidRPr="5F07FF00">
        <w:rPr>
          <w:rFonts w:ascii="Verdana" w:hAnsi="Verdana"/>
          <w:sz w:val="24"/>
          <w:szCs w:val="24"/>
        </w:rPr>
        <w:t xml:space="preserve">ost of </w:t>
      </w:r>
      <w:r w:rsidR="001D7697">
        <w:rPr>
          <w:rFonts w:ascii="Verdana" w:hAnsi="Verdana"/>
          <w:sz w:val="24"/>
          <w:szCs w:val="24"/>
        </w:rPr>
        <w:t>D</w:t>
      </w:r>
      <w:r w:rsidRPr="5F07FF00">
        <w:rPr>
          <w:rFonts w:ascii="Verdana" w:hAnsi="Verdana"/>
          <w:sz w:val="24"/>
          <w:szCs w:val="24"/>
        </w:rPr>
        <w:t xml:space="preserve">isability. The </w:t>
      </w:r>
      <w:proofErr w:type="spellStart"/>
      <w:r w:rsidRPr="5F07FF00">
        <w:rPr>
          <w:rFonts w:ascii="Verdana" w:hAnsi="Verdana"/>
          <w:sz w:val="24"/>
          <w:szCs w:val="24"/>
        </w:rPr>
        <w:t>I</w:t>
      </w:r>
      <w:r w:rsidR="00E505CC">
        <w:rPr>
          <w:rFonts w:ascii="Verdana" w:hAnsi="Verdana"/>
          <w:sz w:val="24"/>
          <w:szCs w:val="24"/>
        </w:rPr>
        <w:t>ndecon</w:t>
      </w:r>
      <w:proofErr w:type="spellEnd"/>
      <w:r w:rsidRPr="5F07FF00">
        <w:rPr>
          <w:rFonts w:ascii="Verdana" w:hAnsi="Verdana"/>
          <w:sz w:val="24"/>
          <w:szCs w:val="24"/>
        </w:rPr>
        <w:t xml:space="preserve"> Report on the Cost of Disability</w:t>
      </w:r>
      <w:r w:rsidR="008218F4">
        <w:rPr>
          <w:rFonts w:ascii="Verdana" w:hAnsi="Verdana"/>
          <w:sz w:val="24"/>
          <w:szCs w:val="24"/>
        </w:rPr>
        <w:t xml:space="preserve"> (2021)</w:t>
      </w:r>
      <w:r w:rsidRPr="5F07FF00">
        <w:rPr>
          <w:rFonts w:ascii="Verdana" w:hAnsi="Verdana"/>
          <w:sz w:val="24"/>
          <w:szCs w:val="24"/>
        </w:rPr>
        <w:t>, commissioned by the Department of Social Protection</w:t>
      </w:r>
      <w:r w:rsidR="008218F4">
        <w:rPr>
          <w:rFonts w:ascii="Verdana" w:hAnsi="Verdana"/>
          <w:sz w:val="24"/>
          <w:szCs w:val="24"/>
        </w:rPr>
        <w:t xml:space="preserve">, </w:t>
      </w:r>
      <w:r w:rsidRPr="5F07FF00">
        <w:rPr>
          <w:rFonts w:ascii="Verdana" w:hAnsi="Verdana"/>
          <w:sz w:val="24"/>
          <w:szCs w:val="24"/>
        </w:rPr>
        <w:t xml:space="preserve">provided comprehensive policy evidence that </w:t>
      </w:r>
      <w:r w:rsidR="008218F4">
        <w:rPr>
          <w:rFonts w:ascii="Verdana" w:hAnsi="Verdana"/>
          <w:sz w:val="24"/>
          <w:szCs w:val="24"/>
        </w:rPr>
        <w:t>disabled people</w:t>
      </w:r>
      <w:r w:rsidRPr="5F07FF00">
        <w:rPr>
          <w:rFonts w:ascii="Verdana" w:hAnsi="Verdana"/>
          <w:sz w:val="24"/>
          <w:szCs w:val="24"/>
        </w:rPr>
        <w:t xml:space="preserve"> have extra costs </w:t>
      </w:r>
      <w:r w:rsidRPr="5F07FF00">
        <w:rPr>
          <w:rFonts w:ascii="Verdana" w:hAnsi="Verdana"/>
          <w:sz w:val="24"/>
          <w:szCs w:val="24"/>
        </w:rPr>
        <w:lastRenderedPageBreak/>
        <w:t xml:space="preserve">across </w:t>
      </w:r>
      <w:r w:rsidR="009531B2">
        <w:rPr>
          <w:rFonts w:ascii="Verdana" w:hAnsi="Verdana"/>
          <w:sz w:val="24"/>
          <w:szCs w:val="24"/>
        </w:rPr>
        <w:t>numerous areas</w:t>
      </w:r>
      <w:r w:rsidR="00433667">
        <w:rPr>
          <w:rFonts w:ascii="Verdana" w:hAnsi="Verdana"/>
          <w:sz w:val="24"/>
          <w:szCs w:val="24"/>
        </w:rPr>
        <w:t xml:space="preserve">. </w:t>
      </w:r>
      <w:r w:rsidRPr="5F07FF00">
        <w:rPr>
          <w:rFonts w:ascii="Verdana" w:hAnsi="Verdana"/>
          <w:sz w:val="24"/>
          <w:szCs w:val="24"/>
        </w:rPr>
        <w:t xml:space="preserve">The report concluded that “there are significant additional costs faced by individuals with a disability </w:t>
      </w:r>
      <w:r w:rsidRPr="5F07FF00">
        <w:rPr>
          <w:rFonts w:ascii="Verdana" w:hAnsi="Verdana"/>
          <w:i/>
          <w:sz w:val="24"/>
          <w:szCs w:val="24"/>
        </w:rPr>
        <w:t>which are currently not met by existing programmes or by social welfare payments</w:t>
      </w:r>
      <w:r w:rsidRPr="5F07FF00">
        <w:rPr>
          <w:rFonts w:ascii="Verdana" w:hAnsi="Verdana"/>
          <w:sz w:val="24"/>
          <w:szCs w:val="24"/>
        </w:rPr>
        <w:t xml:space="preserve"> [our emphasis]</w:t>
      </w:r>
      <w:r w:rsidR="008D71F7">
        <w:rPr>
          <w:rFonts w:ascii="Verdana" w:hAnsi="Verdana"/>
          <w:sz w:val="24"/>
          <w:szCs w:val="24"/>
        </w:rPr>
        <w:t>”</w:t>
      </w:r>
      <w:r w:rsidRPr="5F07FF00">
        <w:rPr>
          <w:rFonts w:ascii="Verdana" w:hAnsi="Verdana"/>
          <w:sz w:val="24"/>
          <w:szCs w:val="24"/>
        </w:rPr>
        <w:t>.</w:t>
      </w:r>
      <w:r w:rsidR="008D71F7" w:rsidRPr="008D71F7">
        <w:rPr>
          <w:rFonts w:ascii="Verdana" w:hAnsi="Verdana"/>
          <w:sz w:val="24"/>
          <w:szCs w:val="24"/>
        </w:rPr>
        <w:t xml:space="preserve"> </w:t>
      </w:r>
      <w:r w:rsidR="008D71F7" w:rsidRPr="5F07FF00">
        <w:rPr>
          <w:rFonts w:ascii="Verdana" w:hAnsi="Verdana"/>
          <w:sz w:val="24"/>
          <w:szCs w:val="24"/>
        </w:rPr>
        <w:t xml:space="preserve">The report </w:t>
      </w:r>
      <w:r w:rsidR="003B509E" w:rsidRPr="000C72D0">
        <w:rPr>
          <w:rFonts w:ascii="Verdana" w:hAnsi="Verdana"/>
          <w:sz w:val="24"/>
          <w:szCs w:val="24"/>
        </w:rPr>
        <w:t>evidenced</w:t>
      </w:r>
      <w:r w:rsidR="008D71F7" w:rsidRPr="000C72D0">
        <w:rPr>
          <w:rFonts w:ascii="Verdana" w:hAnsi="Verdana"/>
          <w:sz w:val="24"/>
          <w:szCs w:val="24"/>
        </w:rPr>
        <w:t xml:space="preserve"> extra costs in the range of €8,700-€12,300, as well as unaffordable extra costs of </w:t>
      </w:r>
      <w:r w:rsidR="008D71F7" w:rsidRPr="000C72D0">
        <w:rPr>
          <w:rFonts w:ascii="Verdana" w:hAnsi="Verdana"/>
          <w:sz w:val="24"/>
          <w:szCs w:val="24"/>
          <w:lang w:val="en-GB"/>
        </w:rPr>
        <w:t>€2,706 a year</w:t>
      </w:r>
      <w:r w:rsidR="008D71F7">
        <w:rPr>
          <w:rFonts w:ascii="Verdana" w:hAnsi="Verdana"/>
          <w:sz w:val="24"/>
          <w:szCs w:val="24"/>
          <w:lang w:val="en-GB"/>
        </w:rPr>
        <w:t>.</w:t>
      </w:r>
      <w:r w:rsidRPr="5F07FF00">
        <w:rPr>
          <w:rStyle w:val="FootnoteReference"/>
          <w:rFonts w:ascii="Verdana" w:hAnsi="Verdana"/>
          <w:sz w:val="24"/>
          <w:szCs w:val="24"/>
        </w:rPr>
        <w:footnoteReference w:id="22"/>
      </w:r>
      <w:r w:rsidR="00513C59">
        <w:rPr>
          <w:rFonts w:ascii="Verdana" w:hAnsi="Verdana" w:cstheme="minorHAnsi"/>
          <w:sz w:val="24"/>
          <w:szCs w:val="24"/>
        </w:rPr>
        <w:t xml:space="preserve"> </w:t>
      </w:r>
    </w:p>
    <w:p w14:paraId="2C8430F6" w14:textId="033C8845" w:rsidR="007E1FAA" w:rsidRPr="00D8337D" w:rsidRDefault="00CB3217" w:rsidP="007E1FAA">
      <w:pPr>
        <w:rPr>
          <w:b/>
          <w:bCs/>
          <w:lang w:val="en-GB"/>
        </w:rPr>
      </w:pPr>
      <w:r>
        <w:rPr>
          <w:rFonts w:ascii="Verdana" w:hAnsi="Verdana" w:cs="Arial"/>
          <w:sz w:val="24"/>
          <w:szCs w:val="24"/>
        </w:rPr>
        <w:t>These</w:t>
      </w:r>
      <w:r w:rsidR="007E1FAA">
        <w:rPr>
          <w:rFonts w:ascii="Verdana" w:hAnsi="Verdana" w:cs="Arial"/>
          <w:sz w:val="24"/>
          <w:szCs w:val="24"/>
        </w:rPr>
        <w:t xml:space="preserve"> estimates</w:t>
      </w:r>
      <w:r w:rsidR="007E1FAA" w:rsidRPr="00474B8C">
        <w:rPr>
          <w:rFonts w:ascii="Verdana" w:hAnsi="Verdana" w:cs="Arial"/>
          <w:sz w:val="24"/>
          <w:szCs w:val="24"/>
        </w:rPr>
        <w:t xml:space="preserve"> </w:t>
      </w:r>
      <w:r>
        <w:rPr>
          <w:rFonts w:ascii="Verdana" w:hAnsi="Verdana" w:cs="Arial"/>
          <w:sz w:val="24"/>
          <w:szCs w:val="24"/>
        </w:rPr>
        <w:t>we</w:t>
      </w:r>
      <w:r w:rsidR="007E1FAA" w:rsidRPr="00474B8C">
        <w:rPr>
          <w:rFonts w:ascii="Verdana" w:hAnsi="Verdana" w:cs="Arial"/>
          <w:sz w:val="24"/>
          <w:szCs w:val="24"/>
        </w:rPr>
        <w:t xml:space="preserve">re based on </w:t>
      </w:r>
      <w:r w:rsidR="007E1FAA">
        <w:rPr>
          <w:rFonts w:ascii="Verdana" w:hAnsi="Verdana" w:cs="Arial"/>
          <w:sz w:val="24"/>
          <w:szCs w:val="24"/>
        </w:rPr>
        <w:t>data from 2020 or</w:t>
      </w:r>
      <w:r w:rsidR="00097D2E">
        <w:rPr>
          <w:rFonts w:ascii="Verdana" w:hAnsi="Verdana" w:cs="Arial"/>
          <w:sz w:val="24"/>
          <w:szCs w:val="24"/>
        </w:rPr>
        <w:t xml:space="preserve"> </w:t>
      </w:r>
      <w:r w:rsidR="007E1FAA">
        <w:rPr>
          <w:rFonts w:ascii="Verdana" w:hAnsi="Verdana" w:cs="Arial"/>
          <w:sz w:val="24"/>
          <w:szCs w:val="24"/>
        </w:rPr>
        <w:t xml:space="preserve">earlier. Asked whether </w:t>
      </w:r>
      <w:r w:rsidR="007E0164">
        <w:rPr>
          <w:rFonts w:ascii="Verdana" w:hAnsi="Verdana" w:cs="Arial"/>
          <w:sz w:val="24"/>
          <w:szCs w:val="24"/>
        </w:rPr>
        <w:t>costs</w:t>
      </w:r>
      <w:r w:rsidR="007E1FAA">
        <w:rPr>
          <w:rFonts w:ascii="Verdana" w:hAnsi="Verdana" w:cs="Arial"/>
          <w:sz w:val="24"/>
          <w:szCs w:val="24"/>
        </w:rPr>
        <w:t xml:space="preserve"> had increased</w:t>
      </w:r>
      <w:r w:rsidR="0005695F">
        <w:rPr>
          <w:rFonts w:ascii="Verdana" w:hAnsi="Verdana" w:cs="Arial"/>
          <w:sz w:val="24"/>
          <w:szCs w:val="24"/>
        </w:rPr>
        <w:t xml:space="preserve"> </w:t>
      </w:r>
      <w:r w:rsidR="007E1FAA">
        <w:rPr>
          <w:rFonts w:ascii="Verdana" w:hAnsi="Verdana" w:cs="Arial"/>
          <w:sz w:val="24"/>
          <w:szCs w:val="24"/>
        </w:rPr>
        <w:t xml:space="preserve">at the Green Paper consultation event in Dublin Castle last year, </w:t>
      </w:r>
      <w:proofErr w:type="spellStart"/>
      <w:r w:rsidR="007E1FAA">
        <w:rPr>
          <w:rFonts w:ascii="Verdana" w:hAnsi="Verdana" w:cs="Arial"/>
          <w:sz w:val="24"/>
          <w:szCs w:val="24"/>
        </w:rPr>
        <w:t>Indecon</w:t>
      </w:r>
      <w:proofErr w:type="spellEnd"/>
      <w:r w:rsidR="007E1FAA">
        <w:rPr>
          <w:rFonts w:ascii="Verdana" w:hAnsi="Verdana" w:cs="Arial"/>
          <w:sz w:val="24"/>
          <w:szCs w:val="24"/>
        </w:rPr>
        <w:t xml:space="preserve"> replied that there had been significant inflation since the report, and there was </w:t>
      </w:r>
      <w:r w:rsidR="007E1FAA" w:rsidRPr="00D8337D">
        <w:rPr>
          <w:rFonts w:ascii="Verdana" w:hAnsi="Verdana" w:cs="Arial"/>
          <w:b/>
          <w:bCs/>
          <w:sz w:val="24"/>
          <w:szCs w:val="24"/>
        </w:rPr>
        <w:t>“absolutely no doubt” that the figure would have increased as a result</w:t>
      </w:r>
      <w:r w:rsidR="007E1FAA">
        <w:rPr>
          <w:rFonts w:ascii="Verdana" w:hAnsi="Verdana" w:cs="Arial"/>
          <w:sz w:val="24"/>
          <w:szCs w:val="24"/>
        </w:rPr>
        <w:t>. T</w:t>
      </w:r>
      <w:r w:rsidR="007E1FAA" w:rsidRPr="00D36BF4">
        <w:rPr>
          <w:rFonts w:ascii="Verdana" w:hAnsi="Verdana" w:cs="Arial"/>
          <w:sz w:val="24"/>
          <w:szCs w:val="24"/>
        </w:rPr>
        <w:t>h</w:t>
      </w:r>
      <w:r w:rsidR="007E1FAA">
        <w:rPr>
          <w:rFonts w:ascii="Verdana" w:hAnsi="Verdana" w:cs="Arial"/>
          <w:sz w:val="24"/>
          <w:szCs w:val="24"/>
        </w:rPr>
        <w:t>e original Cost of Disability</w:t>
      </w:r>
      <w:r w:rsidR="007E1FAA" w:rsidRPr="00D36BF4">
        <w:rPr>
          <w:rFonts w:ascii="Verdana" w:hAnsi="Verdana" w:cs="Arial"/>
          <w:sz w:val="24"/>
          <w:szCs w:val="24"/>
        </w:rPr>
        <w:t xml:space="preserve"> estimate</w:t>
      </w:r>
      <w:r w:rsidR="007E1FAA">
        <w:rPr>
          <w:rFonts w:ascii="Verdana" w:hAnsi="Verdana" w:cs="Arial"/>
          <w:sz w:val="24"/>
          <w:szCs w:val="24"/>
        </w:rPr>
        <w:t xml:space="preserve"> is thus clearly out of date. </w:t>
      </w:r>
      <w:r w:rsidR="007E1FAA" w:rsidRPr="00D36BF4">
        <w:rPr>
          <w:rFonts w:ascii="Verdana" w:hAnsi="Verdana" w:cs="Arial"/>
          <w:sz w:val="24"/>
          <w:szCs w:val="24"/>
        </w:rPr>
        <w:t>The Consumer Price Index Inflation Cal</w:t>
      </w:r>
      <w:r w:rsidR="007E1FAA">
        <w:rPr>
          <w:rFonts w:ascii="Verdana" w:hAnsi="Verdana" w:cs="Arial"/>
          <w:sz w:val="24"/>
          <w:szCs w:val="24"/>
        </w:rPr>
        <w:t xml:space="preserve">culator </w:t>
      </w:r>
      <w:r w:rsidR="007E1FAA" w:rsidRPr="00D36BF4">
        <w:rPr>
          <w:rFonts w:ascii="Verdana" w:hAnsi="Verdana" w:cs="Arial"/>
          <w:sz w:val="24"/>
          <w:szCs w:val="24"/>
        </w:rPr>
        <w:t xml:space="preserve">shows inflation of </w:t>
      </w:r>
      <w:r w:rsidR="007E1FAA" w:rsidRPr="00965EC6">
        <w:rPr>
          <w:rFonts w:ascii="Verdana" w:hAnsi="Verdana" w:cs="Arial"/>
          <w:sz w:val="24"/>
          <w:szCs w:val="24"/>
        </w:rPr>
        <w:t>19.5%</w:t>
      </w:r>
      <w:r w:rsidR="007E1FAA" w:rsidRPr="00D36BF4">
        <w:rPr>
          <w:rFonts w:ascii="Verdana" w:hAnsi="Verdana" w:cs="Arial"/>
          <w:sz w:val="24"/>
          <w:szCs w:val="24"/>
        </w:rPr>
        <w:t xml:space="preserve"> from </w:t>
      </w:r>
      <w:r w:rsidR="007E1FAA">
        <w:rPr>
          <w:rFonts w:ascii="Verdana" w:hAnsi="Verdana" w:cs="Arial"/>
          <w:sz w:val="24"/>
          <w:szCs w:val="24"/>
        </w:rPr>
        <w:t xml:space="preserve">January </w:t>
      </w:r>
      <w:r w:rsidR="007E1FAA" w:rsidRPr="00D36BF4">
        <w:rPr>
          <w:rFonts w:ascii="Verdana" w:hAnsi="Verdana" w:cs="Arial"/>
          <w:sz w:val="24"/>
          <w:szCs w:val="24"/>
        </w:rPr>
        <w:t>2021</w:t>
      </w:r>
      <w:r w:rsidR="007E1FAA">
        <w:rPr>
          <w:rFonts w:ascii="Verdana" w:hAnsi="Verdana" w:cs="Arial"/>
          <w:sz w:val="24"/>
          <w:szCs w:val="24"/>
        </w:rPr>
        <w:t xml:space="preserve"> to March 2024.</w:t>
      </w:r>
      <w:r w:rsidR="007E1FAA">
        <w:rPr>
          <w:rStyle w:val="FootnoteReference"/>
          <w:rFonts w:ascii="Verdana" w:hAnsi="Verdana" w:cs="Arial"/>
          <w:sz w:val="24"/>
          <w:szCs w:val="24"/>
        </w:rPr>
        <w:footnoteReference w:id="23"/>
      </w:r>
      <w:r w:rsidR="007E1FAA">
        <w:rPr>
          <w:rFonts w:ascii="Verdana" w:hAnsi="Verdana" w:cs="Arial"/>
          <w:sz w:val="24"/>
          <w:szCs w:val="24"/>
        </w:rPr>
        <w:t xml:space="preserve"> Applying this to the original </w:t>
      </w:r>
      <w:proofErr w:type="spellStart"/>
      <w:r w:rsidR="007E1FAA">
        <w:rPr>
          <w:rFonts w:ascii="Verdana" w:hAnsi="Verdana" w:cs="Arial"/>
          <w:sz w:val="24"/>
          <w:szCs w:val="24"/>
        </w:rPr>
        <w:t>Indecon</w:t>
      </w:r>
      <w:proofErr w:type="spellEnd"/>
      <w:r w:rsidR="007E1FAA">
        <w:rPr>
          <w:rFonts w:ascii="Verdana" w:hAnsi="Verdana" w:cs="Arial"/>
          <w:sz w:val="24"/>
          <w:szCs w:val="24"/>
        </w:rPr>
        <w:t xml:space="preserve"> estimate, we can see that inflation has </w:t>
      </w:r>
      <w:r w:rsidR="007E1FAA" w:rsidRPr="00D8337D">
        <w:rPr>
          <w:rFonts w:ascii="Verdana" w:hAnsi="Verdana" w:cs="Arial"/>
          <w:b/>
          <w:bCs/>
          <w:sz w:val="24"/>
          <w:szCs w:val="24"/>
        </w:rPr>
        <w:t>likely increased the original range to €10,397 – €15,177. </w:t>
      </w:r>
    </w:p>
    <w:p w14:paraId="6AC2CA63" w14:textId="4A3D3E87" w:rsidR="00024BCE" w:rsidRDefault="00984AB5" w:rsidP="00EB5C93">
      <w:pPr>
        <w:spacing w:line="276" w:lineRule="auto"/>
        <w:rPr>
          <w:rFonts w:ascii="Verdana" w:hAnsi="Verdana"/>
          <w:sz w:val="24"/>
          <w:szCs w:val="24"/>
        </w:rPr>
      </w:pPr>
      <w:r>
        <w:rPr>
          <w:rFonts w:ascii="Verdana" w:hAnsi="Verdana"/>
          <w:sz w:val="24"/>
          <w:szCs w:val="24"/>
        </w:rPr>
        <w:t>And yet</w:t>
      </w:r>
      <w:r w:rsidR="00632126" w:rsidRPr="00C6374D">
        <w:rPr>
          <w:rFonts w:ascii="Verdana" w:hAnsi="Verdana"/>
          <w:sz w:val="24"/>
          <w:szCs w:val="24"/>
        </w:rPr>
        <w:t xml:space="preserve"> </w:t>
      </w:r>
      <w:r w:rsidR="00632126" w:rsidRPr="00B76691">
        <w:rPr>
          <w:rFonts w:ascii="Verdana" w:hAnsi="Verdana"/>
          <w:b/>
          <w:bCs/>
          <w:sz w:val="24"/>
          <w:szCs w:val="24"/>
        </w:rPr>
        <w:t>the basic annual income currently provided by the state through Disability Allowance, €1</w:t>
      </w:r>
      <w:r w:rsidR="00D555D0">
        <w:rPr>
          <w:rFonts w:ascii="Verdana" w:hAnsi="Verdana"/>
          <w:b/>
          <w:bCs/>
          <w:sz w:val="24"/>
          <w:szCs w:val="24"/>
        </w:rPr>
        <w:t>2</w:t>
      </w:r>
      <w:r w:rsidR="00632126" w:rsidRPr="00B76691">
        <w:rPr>
          <w:rFonts w:ascii="Verdana" w:hAnsi="Verdana"/>
          <w:b/>
          <w:bCs/>
          <w:sz w:val="24"/>
          <w:szCs w:val="24"/>
        </w:rPr>
        <w:t>,</w:t>
      </w:r>
      <w:r w:rsidR="00D555D0">
        <w:rPr>
          <w:rFonts w:ascii="Verdana" w:hAnsi="Verdana"/>
          <w:b/>
          <w:bCs/>
          <w:sz w:val="24"/>
          <w:szCs w:val="24"/>
        </w:rPr>
        <w:t>064</w:t>
      </w:r>
      <w:r w:rsidR="00632126" w:rsidRPr="00B76691">
        <w:rPr>
          <w:rFonts w:ascii="Verdana" w:hAnsi="Verdana"/>
          <w:b/>
          <w:bCs/>
          <w:sz w:val="24"/>
          <w:szCs w:val="24"/>
        </w:rPr>
        <w:t>, would in some cases not even cover the additional disability</w:t>
      </w:r>
      <w:r w:rsidR="00D1181C">
        <w:rPr>
          <w:rFonts w:ascii="Verdana" w:hAnsi="Verdana"/>
          <w:b/>
          <w:bCs/>
          <w:sz w:val="24"/>
          <w:szCs w:val="24"/>
        </w:rPr>
        <w:t>-</w:t>
      </w:r>
      <w:r w:rsidR="00632126" w:rsidRPr="00B76691">
        <w:rPr>
          <w:rFonts w:ascii="Verdana" w:hAnsi="Verdana"/>
          <w:b/>
          <w:bCs/>
          <w:sz w:val="24"/>
          <w:szCs w:val="24"/>
        </w:rPr>
        <w:t>related costs</w:t>
      </w:r>
      <w:r w:rsidR="00632126">
        <w:rPr>
          <w:rFonts w:ascii="Verdana" w:hAnsi="Verdana"/>
          <w:sz w:val="24"/>
          <w:szCs w:val="24"/>
        </w:rPr>
        <w:t xml:space="preserve"> that someone face</w:t>
      </w:r>
      <w:r w:rsidR="00C46205">
        <w:rPr>
          <w:rFonts w:ascii="Verdana" w:hAnsi="Verdana"/>
          <w:sz w:val="24"/>
          <w:szCs w:val="24"/>
        </w:rPr>
        <w:t>s</w:t>
      </w:r>
      <w:r w:rsidR="00632126" w:rsidRPr="00292CCB">
        <w:rPr>
          <w:rFonts w:ascii="Verdana" w:hAnsi="Verdana"/>
          <w:sz w:val="24"/>
          <w:szCs w:val="24"/>
        </w:rPr>
        <w:t xml:space="preserve">, let alone </w:t>
      </w:r>
      <w:r w:rsidR="00632126">
        <w:rPr>
          <w:rFonts w:ascii="Verdana" w:hAnsi="Verdana"/>
          <w:sz w:val="24"/>
          <w:szCs w:val="24"/>
        </w:rPr>
        <w:t xml:space="preserve">all the other </w:t>
      </w:r>
      <w:r w:rsidR="00632126" w:rsidRPr="00292CCB">
        <w:rPr>
          <w:rFonts w:ascii="Verdana" w:hAnsi="Verdana"/>
          <w:sz w:val="24"/>
          <w:szCs w:val="24"/>
        </w:rPr>
        <w:t>everyday living costs</w:t>
      </w:r>
      <w:r w:rsidR="00632126">
        <w:rPr>
          <w:rFonts w:ascii="Verdana" w:hAnsi="Verdana"/>
          <w:sz w:val="24"/>
          <w:szCs w:val="24"/>
        </w:rPr>
        <w:t xml:space="preserve"> that all people live with on top of that, like rent, </w:t>
      </w:r>
      <w:r w:rsidR="002C09A8">
        <w:rPr>
          <w:rFonts w:ascii="Verdana" w:hAnsi="Verdana"/>
          <w:sz w:val="24"/>
          <w:szCs w:val="24"/>
        </w:rPr>
        <w:t>food, heating etc</w:t>
      </w:r>
      <w:r w:rsidR="00632126" w:rsidRPr="00292CCB">
        <w:rPr>
          <w:rFonts w:ascii="Verdana" w:hAnsi="Verdana"/>
          <w:sz w:val="24"/>
          <w:szCs w:val="24"/>
        </w:rPr>
        <w:t>.</w:t>
      </w:r>
    </w:p>
    <w:p w14:paraId="6FDD1F1A" w14:textId="241C4AD3" w:rsidR="00467720" w:rsidRPr="00F5696B" w:rsidRDefault="00467720" w:rsidP="00F5696B">
      <w:pPr>
        <w:pStyle w:val="Heading1"/>
        <w:rPr>
          <w:sz w:val="24"/>
          <w:szCs w:val="24"/>
        </w:rPr>
      </w:pPr>
      <w:bookmarkStart w:id="10" w:name="_Toc171069202"/>
      <w:r w:rsidRPr="00F5696B">
        <w:rPr>
          <w:sz w:val="24"/>
          <w:szCs w:val="24"/>
        </w:rPr>
        <w:t xml:space="preserve">Green Paper </w:t>
      </w:r>
      <w:r w:rsidR="007808E3" w:rsidRPr="00F5696B">
        <w:rPr>
          <w:sz w:val="24"/>
          <w:szCs w:val="24"/>
        </w:rPr>
        <w:t>P</w:t>
      </w:r>
      <w:r w:rsidRPr="00F5696B">
        <w:rPr>
          <w:sz w:val="24"/>
          <w:szCs w:val="24"/>
        </w:rPr>
        <w:t xml:space="preserve">roposal </w:t>
      </w:r>
      <w:r w:rsidR="007808E3" w:rsidRPr="00F5696B">
        <w:rPr>
          <w:sz w:val="24"/>
          <w:szCs w:val="24"/>
        </w:rPr>
        <w:t>W</w:t>
      </w:r>
      <w:r w:rsidRPr="00F5696B">
        <w:rPr>
          <w:sz w:val="24"/>
          <w:szCs w:val="24"/>
        </w:rPr>
        <w:t xml:space="preserve">as the </w:t>
      </w:r>
      <w:r w:rsidR="007808E3" w:rsidRPr="00F5696B">
        <w:rPr>
          <w:sz w:val="24"/>
          <w:szCs w:val="24"/>
        </w:rPr>
        <w:t>W</w:t>
      </w:r>
      <w:r w:rsidRPr="00F5696B">
        <w:rPr>
          <w:sz w:val="24"/>
          <w:szCs w:val="24"/>
        </w:rPr>
        <w:t xml:space="preserve">rong </w:t>
      </w:r>
      <w:r w:rsidR="007808E3" w:rsidRPr="00F5696B">
        <w:rPr>
          <w:sz w:val="24"/>
          <w:szCs w:val="24"/>
        </w:rPr>
        <w:t>S</w:t>
      </w:r>
      <w:r w:rsidRPr="00F5696B">
        <w:rPr>
          <w:sz w:val="24"/>
          <w:szCs w:val="24"/>
        </w:rPr>
        <w:t>olution</w:t>
      </w:r>
      <w:bookmarkEnd w:id="10"/>
      <w:r w:rsidRPr="00F5696B">
        <w:rPr>
          <w:sz w:val="24"/>
          <w:szCs w:val="24"/>
        </w:rPr>
        <w:t xml:space="preserve"> </w:t>
      </w:r>
    </w:p>
    <w:p w14:paraId="0F3E9BA2" w14:textId="2307B27C" w:rsidR="0038505E" w:rsidRDefault="0038505E" w:rsidP="0038505E">
      <w:pPr>
        <w:rPr>
          <w:rFonts w:ascii="Verdana" w:hAnsi="Verdana"/>
          <w:sz w:val="24"/>
          <w:szCs w:val="24"/>
        </w:rPr>
      </w:pPr>
      <w:r>
        <w:rPr>
          <w:rFonts w:ascii="Verdana" w:hAnsi="Verdana"/>
          <w:sz w:val="24"/>
          <w:szCs w:val="24"/>
        </w:rPr>
        <w:t xml:space="preserve">The </w:t>
      </w:r>
      <w:proofErr w:type="spellStart"/>
      <w:r>
        <w:rPr>
          <w:rFonts w:ascii="Verdana" w:hAnsi="Verdana"/>
          <w:sz w:val="24"/>
          <w:szCs w:val="24"/>
        </w:rPr>
        <w:t>Indecon</w:t>
      </w:r>
      <w:proofErr w:type="spellEnd"/>
      <w:r>
        <w:rPr>
          <w:rFonts w:ascii="Verdana" w:hAnsi="Verdana"/>
          <w:sz w:val="24"/>
          <w:szCs w:val="24"/>
        </w:rPr>
        <w:t xml:space="preserve"> report</w:t>
      </w:r>
      <w:r w:rsidRPr="5F07FF00">
        <w:rPr>
          <w:rFonts w:ascii="Verdana" w:hAnsi="Verdana"/>
          <w:sz w:val="24"/>
          <w:szCs w:val="24"/>
        </w:rPr>
        <w:t xml:space="preserve"> recommend</w:t>
      </w:r>
      <w:r>
        <w:rPr>
          <w:rFonts w:ascii="Verdana" w:hAnsi="Verdana"/>
          <w:sz w:val="24"/>
          <w:szCs w:val="24"/>
        </w:rPr>
        <w:t>ed</w:t>
      </w:r>
      <w:r w:rsidRPr="5F07FF00">
        <w:rPr>
          <w:rFonts w:ascii="Verdana" w:hAnsi="Verdana"/>
          <w:sz w:val="24"/>
          <w:szCs w:val="24"/>
        </w:rPr>
        <w:t xml:space="preserve"> tackling th</w:t>
      </w:r>
      <w:r w:rsidR="00D33D20">
        <w:rPr>
          <w:rFonts w:ascii="Verdana" w:hAnsi="Verdana"/>
          <w:sz w:val="24"/>
          <w:szCs w:val="24"/>
        </w:rPr>
        <w:t>e extra Cost of Disability</w:t>
      </w:r>
      <w:r w:rsidRPr="5F07FF00">
        <w:rPr>
          <w:rFonts w:ascii="Verdana" w:hAnsi="Verdana"/>
          <w:sz w:val="24"/>
          <w:szCs w:val="24"/>
        </w:rPr>
        <w:t xml:space="preserve"> through increased cash payments, enhanced access to services and targeted grant programme</w:t>
      </w:r>
      <w:r>
        <w:rPr>
          <w:rFonts w:ascii="Verdana" w:hAnsi="Verdana"/>
          <w:sz w:val="24"/>
          <w:szCs w:val="24"/>
        </w:rPr>
        <w:t xml:space="preserve">s, and </w:t>
      </w:r>
      <w:r>
        <w:rPr>
          <w:rFonts w:ascii="Verdana" w:hAnsi="Verdana" w:cstheme="minorHAnsi"/>
          <w:sz w:val="24"/>
          <w:szCs w:val="24"/>
        </w:rPr>
        <w:t xml:space="preserve">emphasised that these provisions should focus on </w:t>
      </w:r>
      <w:r w:rsidRPr="00553139">
        <w:rPr>
          <w:rFonts w:ascii="Verdana" w:hAnsi="Verdana" w:cstheme="minorHAnsi"/>
          <w:sz w:val="24"/>
          <w:szCs w:val="24"/>
        </w:rPr>
        <w:t>alleviation of poverty, reducing inequality, and</w:t>
      </w:r>
      <w:r>
        <w:rPr>
          <w:rFonts w:ascii="Verdana" w:hAnsi="Verdana" w:cstheme="minorHAnsi"/>
          <w:sz w:val="24"/>
          <w:szCs w:val="24"/>
        </w:rPr>
        <w:t xml:space="preserve"> </w:t>
      </w:r>
      <w:r w:rsidRPr="00553139">
        <w:rPr>
          <w:rFonts w:ascii="Verdana" w:hAnsi="Verdana" w:cstheme="minorHAnsi"/>
          <w:sz w:val="24"/>
          <w:szCs w:val="24"/>
        </w:rPr>
        <w:t>improving social inclusion and quality of life of disabled individuals</w:t>
      </w:r>
      <w:r>
        <w:rPr>
          <w:rFonts w:ascii="Verdana" w:hAnsi="Verdana" w:cstheme="minorHAnsi"/>
          <w:sz w:val="24"/>
          <w:szCs w:val="24"/>
        </w:rPr>
        <w:t>.</w:t>
      </w:r>
      <w:r w:rsidR="00D634CD">
        <w:rPr>
          <w:rFonts w:ascii="Verdana" w:hAnsi="Verdana" w:cstheme="minorHAnsi"/>
          <w:sz w:val="24"/>
          <w:szCs w:val="24"/>
        </w:rPr>
        <w:t xml:space="preserve"> In an attempt to tackle some of the issues outlined in the report, the Department of Social Protection last year published a Green Paper on Disability Reform</w:t>
      </w:r>
      <w:r w:rsidR="00360F78">
        <w:rPr>
          <w:rFonts w:ascii="Verdana" w:hAnsi="Verdana" w:cstheme="minorHAnsi"/>
          <w:sz w:val="24"/>
          <w:szCs w:val="24"/>
        </w:rPr>
        <w:t xml:space="preserve">. While reform is clearly needed, </w:t>
      </w:r>
      <w:r w:rsidR="00F123AA">
        <w:rPr>
          <w:rFonts w:ascii="Verdana" w:hAnsi="Verdana" w:cstheme="minorHAnsi"/>
          <w:sz w:val="24"/>
          <w:szCs w:val="24"/>
        </w:rPr>
        <w:t xml:space="preserve">ultimately it was the wrong solution to the </w:t>
      </w:r>
      <w:r w:rsidR="0098442D">
        <w:rPr>
          <w:rFonts w:ascii="Verdana" w:hAnsi="Verdana" w:cstheme="minorHAnsi"/>
          <w:sz w:val="24"/>
          <w:szCs w:val="24"/>
        </w:rPr>
        <w:t>twin problems of disability poverty and low employment rates.</w:t>
      </w:r>
    </w:p>
    <w:p w14:paraId="319DE998" w14:textId="1A7B534A" w:rsidR="00AE39BA" w:rsidRDefault="00AE39BA" w:rsidP="00AE39BA">
      <w:pPr>
        <w:rPr>
          <w:rFonts w:ascii="Verdana" w:hAnsi="Verdana"/>
          <w:sz w:val="24"/>
          <w:szCs w:val="24"/>
          <w:lang w:val="en-GB"/>
        </w:rPr>
      </w:pPr>
      <w:r>
        <w:rPr>
          <w:rFonts w:ascii="Verdana" w:hAnsi="Verdana"/>
          <w:sz w:val="24"/>
          <w:szCs w:val="24"/>
          <w:lang w:val="en-GB"/>
        </w:rPr>
        <w:t>DFI welcome</w:t>
      </w:r>
      <w:r w:rsidR="00210470">
        <w:rPr>
          <w:rFonts w:ascii="Verdana" w:hAnsi="Verdana"/>
          <w:sz w:val="24"/>
          <w:szCs w:val="24"/>
          <w:lang w:val="en-GB"/>
        </w:rPr>
        <w:t>d</w:t>
      </w:r>
      <w:r>
        <w:rPr>
          <w:rFonts w:ascii="Verdana" w:hAnsi="Verdana"/>
          <w:sz w:val="24"/>
          <w:szCs w:val="24"/>
          <w:lang w:val="en-GB"/>
        </w:rPr>
        <w:t xml:space="preserve"> the recent decision not to proceed with the proposals outlined in the Green Paper, which unfortunately caused much anxiety and stress to </w:t>
      </w:r>
      <w:proofErr w:type="gramStart"/>
      <w:r>
        <w:rPr>
          <w:rFonts w:ascii="Verdana" w:hAnsi="Verdana"/>
          <w:sz w:val="24"/>
          <w:szCs w:val="24"/>
          <w:lang w:val="en-GB"/>
        </w:rPr>
        <w:t>disabled</w:t>
      </w:r>
      <w:proofErr w:type="gramEnd"/>
      <w:r>
        <w:rPr>
          <w:rFonts w:ascii="Verdana" w:hAnsi="Verdana"/>
          <w:sz w:val="24"/>
          <w:szCs w:val="24"/>
          <w:lang w:val="en-GB"/>
        </w:rPr>
        <w:t xml:space="preserve"> people. Two fundamental weaknesses of the Green Paper were that it wrongly conflated the extra Cost of Disability with ‘capacity</w:t>
      </w:r>
      <w:r w:rsidR="003B468A">
        <w:rPr>
          <w:rFonts w:ascii="Verdana" w:hAnsi="Verdana"/>
          <w:sz w:val="24"/>
          <w:szCs w:val="24"/>
          <w:lang w:val="en-GB"/>
        </w:rPr>
        <w:t>’</w:t>
      </w:r>
      <w:r>
        <w:rPr>
          <w:rFonts w:ascii="Verdana" w:hAnsi="Verdana"/>
          <w:sz w:val="24"/>
          <w:szCs w:val="24"/>
          <w:lang w:val="en-GB"/>
        </w:rPr>
        <w:t xml:space="preserve"> to work, and that it did not integrate the cross-Departmental approach that is essential to tackle disability issues, especially those of poverty, employment and the extra Cost of Disability. </w:t>
      </w:r>
    </w:p>
    <w:p w14:paraId="121734D4" w14:textId="582EA555" w:rsidR="00AE39BA" w:rsidRDefault="00AE39BA" w:rsidP="00AE39BA">
      <w:pPr>
        <w:rPr>
          <w:rFonts w:ascii="Verdana" w:hAnsi="Verdana"/>
          <w:sz w:val="24"/>
          <w:szCs w:val="24"/>
          <w:lang w:val="en-GB"/>
        </w:rPr>
      </w:pPr>
      <w:r w:rsidRPr="00F20A51">
        <w:rPr>
          <w:rFonts w:ascii="Verdana" w:hAnsi="Verdana"/>
          <w:b/>
          <w:bCs/>
          <w:sz w:val="24"/>
          <w:szCs w:val="24"/>
          <w:lang w:val="en-GB"/>
        </w:rPr>
        <w:t xml:space="preserve">While the proposal tried to advance one way forward, it was silent on the many structural issues and social barriers that prevent </w:t>
      </w:r>
      <w:r w:rsidRPr="00F20A51">
        <w:rPr>
          <w:rFonts w:ascii="Verdana" w:hAnsi="Verdana"/>
          <w:b/>
          <w:bCs/>
          <w:sz w:val="24"/>
          <w:szCs w:val="24"/>
          <w:lang w:val="en-GB"/>
        </w:rPr>
        <w:lastRenderedPageBreak/>
        <w:t>disabled people from entering the labour force and retaining employment</w:t>
      </w:r>
      <w:r>
        <w:rPr>
          <w:rFonts w:ascii="Verdana" w:hAnsi="Verdana"/>
          <w:sz w:val="24"/>
          <w:szCs w:val="24"/>
          <w:lang w:val="en-GB"/>
        </w:rPr>
        <w:t xml:space="preserve">. The Green Paper also proposed social protection rates that </w:t>
      </w:r>
      <w:r w:rsidR="005048B5">
        <w:rPr>
          <w:rFonts w:ascii="Verdana" w:hAnsi="Verdana"/>
          <w:sz w:val="24"/>
          <w:szCs w:val="24"/>
          <w:lang w:val="en-GB"/>
        </w:rPr>
        <w:t>we</w:t>
      </w:r>
      <w:r>
        <w:rPr>
          <w:rFonts w:ascii="Verdana" w:hAnsi="Verdana"/>
          <w:sz w:val="24"/>
          <w:szCs w:val="24"/>
          <w:lang w:val="en-GB"/>
        </w:rPr>
        <w:t xml:space="preserve">re significantly below the poverty </w:t>
      </w:r>
      <w:proofErr w:type="gramStart"/>
      <w:r>
        <w:rPr>
          <w:rFonts w:ascii="Verdana" w:hAnsi="Verdana"/>
          <w:sz w:val="24"/>
          <w:szCs w:val="24"/>
          <w:lang w:val="en-GB"/>
        </w:rPr>
        <w:t>line, and</w:t>
      </w:r>
      <w:proofErr w:type="gramEnd"/>
      <w:r>
        <w:rPr>
          <w:rFonts w:ascii="Verdana" w:hAnsi="Verdana"/>
          <w:sz w:val="24"/>
          <w:szCs w:val="24"/>
          <w:lang w:val="en-GB"/>
        </w:rPr>
        <w:t xml:space="preserve"> were far from sufficient to address the extra Cost of Disability</w:t>
      </w:r>
      <w:r w:rsidR="007F34BB">
        <w:rPr>
          <w:rFonts w:ascii="Verdana" w:hAnsi="Verdana"/>
          <w:sz w:val="24"/>
          <w:szCs w:val="24"/>
          <w:lang w:val="en-GB"/>
        </w:rPr>
        <w:t>.</w:t>
      </w:r>
      <w:r>
        <w:rPr>
          <w:rFonts w:ascii="Verdana" w:hAnsi="Verdana"/>
          <w:sz w:val="24"/>
          <w:szCs w:val="24"/>
          <w:lang w:val="en-GB"/>
        </w:rPr>
        <w:t xml:space="preserve"> It also did not address issues like the need for indexation of social protection supports, to deliver a Minimum Essential Standard of Living, and for a Cost of Disability payment. </w:t>
      </w:r>
    </w:p>
    <w:p w14:paraId="5E3E810C" w14:textId="0D86C5C0" w:rsidR="00112E4A" w:rsidRDefault="00112E4A" w:rsidP="00112E4A">
      <w:pPr>
        <w:rPr>
          <w:rFonts w:ascii="Verdana" w:hAnsi="Verdana"/>
          <w:sz w:val="24"/>
          <w:szCs w:val="24"/>
          <w:lang w:val="en-GB"/>
        </w:rPr>
      </w:pPr>
      <w:r w:rsidRPr="00F20A51">
        <w:rPr>
          <w:rFonts w:ascii="Verdana" w:hAnsi="Verdana"/>
          <w:b/>
          <w:bCs/>
          <w:sz w:val="24"/>
          <w:szCs w:val="24"/>
          <w:lang w:val="en-GB"/>
        </w:rPr>
        <w:t>Any social protection reform should have the UN Convention on the Rights of Persons with Disabilities as its foundation and starting point</w:t>
      </w:r>
      <w:r w:rsidRPr="0088234C">
        <w:rPr>
          <w:rFonts w:ascii="Verdana" w:hAnsi="Verdana"/>
          <w:sz w:val="24"/>
          <w:szCs w:val="24"/>
          <w:lang w:val="en-GB"/>
        </w:rPr>
        <w:t xml:space="preserve">. </w:t>
      </w:r>
      <w:r>
        <w:rPr>
          <w:rFonts w:ascii="Verdana" w:hAnsi="Verdana"/>
          <w:sz w:val="24"/>
          <w:szCs w:val="24"/>
          <w:lang w:val="en-GB"/>
        </w:rPr>
        <w:t xml:space="preserve">It should adopt </w:t>
      </w:r>
      <w:r w:rsidRPr="0088234C">
        <w:rPr>
          <w:rFonts w:ascii="Verdana" w:hAnsi="Verdana"/>
          <w:sz w:val="24"/>
          <w:szCs w:val="24"/>
          <w:lang w:val="en-GB"/>
        </w:rPr>
        <w:t>a social model of disability, focus</w:t>
      </w:r>
      <w:r>
        <w:rPr>
          <w:rFonts w:ascii="Verdana" w:hAnsi="Verdana"/>
          <w:sz w:val="24"/>
          <w:szCs w:val="24"/>
          <w:lang w:val="en-GB"/>
        </w:rPr>
        <w:t>ing</w:t>
      </w:r>
      <w:r w:rsidRPr="0088234C">
        <w:rPr>
          <w:rFonts w:ascii="Verdana" w:hAnsi="Verdana"/>
          <w:sz w:val="24"/>
          <w:szCs w:val="24"/>
          <w:lang w:val="en-GB"/>
        </w:rPr>
        <w:t xml:space="preserve"> on removing structural barriers to inclusion and participation.</w:t>
      </w:r>
      <w:r>
        <w:rPr>
          <w:rFonts w:ascii="Verdana" w:hAnsi="Verdana"/>
          <w:sz w:val="24"/>
          <w:szCs w:val="24"/>
          <w:lang w:val="en-GB"/>
        </w:rPr>
        <w:t xml:space="preserve"> </w:t>
      </w:r>
      <w:r w:rsidRPr="0088234C">
        <w:rPr>
          <w:rFonts w:ascii="Verdana" w:hAnsi="Verdana"/>
          <w:sz w:val="24"/>
          <w:szCs w:val="24"/>
          <w:lang w:val="en-GB"/>
        </w:rPr>
        <w:t>It should also be based on a series of agreed values</w:t>
      </w:r>
      <w:r>
        <w:rPr>
          <w:rFonts w:ascii="Verdana" w:hAnsi="Verdana"/>
          <w:sz w:val="24"/>
          <w:szCs w:val="24"/>
          <w:lang w:val="en-GB"/>
        </w:rPr>
        <w:t xml:space="preserve">, including support for independent living. Ultimately, an inter-Departmental approach will be essential to tackle the extra Cost of Disability, an issue that manifests across </w:t>
      </w:r>
      <w:r w:rsidR="005B7C30">
        <w:rPr>
          <w:rFonts w:ascii="Verdana" w:hAnsi="Verdana"/>
          <w:sz w:val="24"/>
          <w:szCs w:val="24"/>
          <w:lang w:val="en-GB"/>
        </w:rPr>
        <w:t xml:space="preserve">the briefs of </w:t>
      </w:r>
      <w:r>
        <w:rPr>
          <w:rFonts w:ascii="Verdana" w:hAnsi="Verdana"/>
          <w:sz w:val="24"/>
          <w:szCs w:val="24"/>
          <w:lang w:val="en-GB"/>
        </w:rPr>
        <w:t xml:space="preserve">many Departments. </w:t>
      </w:r>
    </w:p>
    <w:p w14:paraId="490355E3" w14:textId="1715B725" w:rsidR="001D60D4" w:rsidRPr="00A70D27" w:rsidRDefault="00112E4A" w:rsidP="00112E4A">
      <w:pPr>
        <w:rPr>
          <w:rFonts w:ascii="Verdana" w:hAnsi="Verdana"/>
          <w:sz w:val="24"/>
          <w:szCs w:val="24"/>
          <w:lang w:val="en-GB"/>
        </w:rPr>
      </w:pPr>
      <w:r>
        <w:rPr>
          <w:rFonts w:ascii="Verdana" w:hAnsi="Verdana"/>
          <w:sz w:val="24"/>
          <w:szCs w:val="24"/>
          <w:lang w:val="en-GB"/>
        </w:rPr>
        <w:t xml:space="preserve">A change of approach will be required </w:t>
      </w:r>
      <w:r w:rsidR="00AF6E60">
        <w:rPr>
          <w:rFonts w:ascii="Verdana" w:hAnsi="Verdana"/>
          <w:sz w:val="24"/>
          <w:szCs w:val="24"/>
          <w:lang w:val="en-GB"/>
        </w:rPr>
        <w:t>given</w:t>
      </w:r>
      <w:r>
        <w:rPr>
          <w:rFonts w:ascii="Verdana" w:hAnsi="Verdana"/>
          <w:sz w:val="24"/>
          <w:szCs w:val="24"/>
          <w:lang w:val="en-GB"/>
        </w:rPr>
        <w:t xml:space="preserve"> the level of dissatisfaction with the Green Paper, and revising and developing new reform proposals will clearly take time. </w:t>
      </w:r>
      <w:r w:rsidR="00D1473D">
        <w:rPr>
          <w:rFonts w:ascii="Verdana" w:hAnsi="Verdana"/>
          <w:sz w:val="24"/>
          <w:szCs w:val="24"/>
          <w:lang w:val="en-GB"/>
        </w:rPr>
        <w:t>Our</w:t>
      </w:r>
      <w:r>
        <w:rPr>
          <w:rFonts w:ascii="Verdana" w:hAnsi="Verdana"/>
          <w:sz w:val="24"/>
          <w:szCs w:val="24"/>
          <w:lang w:val="en-GB"/>
        </w:rPr>
        <w:t xml:space="preserve"> </w:t>
      </w:r>
      <w:r w:rsidR="00B32A0B">
        <w:rPr>
          <w:rFonts w:ascii="Verdana" w:hAnsi="Verdana"/>
          <w:sz w:val="24"/>
          <w:szCs w:val="24"/>
          <w:lang w:val="en-GB"/>
        </w:rPr>
        <w:t xml:space="preserve">Green Paper </w:t>
      </w:r>
      <w:r>
        <w:rPr>
          <w:rFonts w:ascii="Verdana" w:hAnsi="Verdana"/>
          <w:sz w:val="24"/>
          <w:szCs w:val="24"/>
          <w:lang w:val="en-GB"/>
        </w:rPr>
        <w:t>submission</w:t>
      </w:r>
      <w:r w:rsidR="00D1473D">
        <w:rPr>
          <w:rFonts w:ascii="Verdana" w:hAnsi="Verdana"/>
          <w:sz w:val="24"/>
          <w:szCs w:val="24"/>
          <w:lang w:val="en-GB"/>
        </w:rPr>
        <w:t xml:space="preserve"> </w:t>
      </w:r>
      <w:r>
        <w:rPr>
          <w:rFonts w:ascii="Verdana" w:hAnsi="Verdana"/>
          <w:sz w:val="24"/>
          <w:szCs w:val="24"/>
          <w:lang w:val="en-GB"/>
        </w:rPr>
        <w:t>outline</w:t>
      </w:r>
      <w:r w:rsidR="00D1473D">
        <w:rPr>
          <w:rFonts w:ascii="Verdana" w:hAnsi="Verdana"/>
          <w:sz w:val="24"/>
          <w:szCs w:val="24"/>
          <w:lang w:val="en-GB"/>
        </w:rPr>
        <w:t>d</w:t>
      </w:r>
      <w:r>
        <w:rPr>
          <w:rFonts w:ascii="Verdana" w:hAnsi="Verdana"/>
          <w:sz w:val="24"/>
          <w:szCs w:val="24"/>
          <w:lang w:val="en-GB"/>
        </w:rPr>
        <w:t xml:space="preserve"> </w:t>
      </w:r>
      <w:r w:rsidR="00B32A0B">
        <w:rPr>
          <w:rFonts w:ascii="Verdana" w:hAnsi="Verdana"/>
          <w:sz w:val="24"/>
          <w:szCs w:val="24"/>
          <w:lang w:val="en-GB"/>
        </w:rPr>
        <w:t xml:space="preserve">DFI’s </w:t>
      </w:r>
      <w:r>
        <w:rPr>
          <w:rFonts w:ascii="Verdana" w:hAnsi="Verdana"/>
          <w:sz w:val="24"/>
          <w:szCs w:val="24"/>
          <w:lang w:val="en-GB"/>
        </w:rPr>
        <w:t xml:space="preserve">longer-term asks and bigger picture recommendations for whatever policy approach is developed in due course, based on the learnings and feedback from the Green Paper consultation. </w:t>
      </w:r>
      <w:r w:rsidR="00B51458">
        <w:rPr>
          <w:rFonts w:ascii="Verdana" w:hAnsi="Verdana"/>
          <w:sz w:val="24"/>
          <w:szCs w:val="24"/>
          <w:lang w:val="en-GB"/>
        </w:rPr>
        <w:t xml:space="preserve">In this </w:t>
      </w:r>
      <w:proofErr w:type="gramStart"/>
      <w:r w:rsidR="00B51458">
        <w:rPr>
          <w:rFonts w:ascii="Verdana" w:hAnsi="Verdana"/>
          <w:sz w:val="24"/>
          <w:szCs w:val="24"/>
          <w:lang w:val="en-GB"/>
        </w:rPr>
        <w:t>pre Budget</w:t>
      </w:r>
      <w:proofErr w:type="gramEnd"/>
      <w:r w:rsidR="00B51458">
        <w:rPr>
          <w:rFonts w:ascii="Verdana" w:hAnsi="Verdana"/>
          <w:sz w:val="24"/>
          <w:szCs w:val="24"/>
          <w:lang w:val="en-GB"/>
        </w:rPr>
        <w:t xml:space="preserve"> submission</w:t>
      </w:r>
      <w:r w:rsidR="00C3346D">
        <w:rPr>
          <w:rFonts w:ascii="Verdana" w:hAnsi="Verdana"/>
          <w:sz w:val="24"/>
          <w:szCs w:val="24"/>
          <w:lang w:val="en-GB"/>
        </w:rPr>
        <w:t xml:space="preserve"> meanwhile,</w:t>
      </w:r>
      <w:r w:rsidR="00B51458">
        <w:rPr>
          <w:rFonts w:ascii="Verdana" w:hAnsi="Verdana"/>
          <w:sz w:val="24"/>
          <w:szCs w:val="24"/>
          <w:lang w:val="en-GB"/>
        </w:rPr>
        <w:t xml:space="preserve"> we</w:t>
      </w:r>
      <w:r>
        <w:rPr>
          <w:rFonts w:ascii="Verdana" w:hAnsi="Verdana"/>
          <w:sz w:val="24"/>
          <w:szCs w:val="24"/>
          <w:lang w:val="en-GB"/>
        </w:rPr>
        <w:t xml:space="preserve"> outline some urgent areas of immediate </w:t>
      </w:r>
      <w:r w:rsidRPr="00A70D27">
        <w:rPr>
          <w:rFonts w:ascii="Verdana" w:hAnsi="Verdana"/>
          <w:sz w:val="24"/>
          <w:szCs w:val="24"/>
          <w:lang w:val="en-GB"/>
        </w:rPr>
        <w:t xml:space="preserve">priority to tackle </w:t>
      </w:r>
      <w:r w:rsidR="00F45389" w:rsidRPr="00A70D27">
        <w:rPr>
          <w:rFonts w:ascii="Verdana" w:hAnsi="Verdana"/>
          <w:sz w:val="24"/>
          <w:szCs w:val="24"/>
          <w:lang w:val="en-GB"/>
        </w:rPr>
        <w:t>poverty</w:t>
      </w:r>
      <w:r w:rsidRPr="00A70D27">
        <w:rPr>
          <w:rFonts w:ascii="Verdana" w:hAnsi="Verdana"/>
          <w:sz w:val="24"/>
          <w:szCs w:val="24"/>
          <w:lang w:val="en-GB"/>
        </w:rPr>
        <w:t>.</w:t>
      </w:r>
      <w:r w:rsidR="00A20896" w:rsidRPr="00A70D27">
        <w:rPr>
          <w:rFonts w:ascii="Verdana" w:hAnsi="Verdana"/>
          <w:sz w:val="24"/>
          <w:szCs w:val="24"/>
          <w:lang w:val="en-GB"/>
        </w:rPr>
        <w:t xml:space="preserve"> </w:t>
      </w:r>
    </w:p>
    <w:p w14:paraId="02DE6890" w14:textId="6215D550" w:rsidR="004576E0" w:rsidRPr="00A70D27" w:rsidRDefault="00A20896" w:rsidP="004576E0">
      <w:pPr>
        <w:rPr>
          <w:rFonts w:ascii="Verdana" w:hAnsi="Verdana"/>
          <w:sz w:val="24"/>
          <w:szCs w:val="24"/>
          <w:lang w:val="en-GB"/>
        </w:rPr>
      </w:pPr>
      <w:r w:rsidRPr="00A70D27">
        <w:rPr>
          <w:rFonts w:ascii="Verdana" w:hAnsi="Verdana"/>
          <w:b/>
          <w:bCs/>
          <w:sz w:val="24"/>
          <w:szCs w:val="24"/>
          <w:lang w:val="en-GB"/>
        </w:rPr>
        <w:t xml:space="preserve">While further work is required on reform, </w:t>
      </w:r>
      <w:r w:rsidR="003933D9" w:rsidRPr="00A70D27">
        <w:rPr>
          <w:rFonts w:ascii="Verdana" w:hAnsi="Verdana"/>
          <w:b/>
          <w:bCs/>
          <w:sz w:val="24"/>
          <w:szCs w:val="24"/>
          <w:lang w:val="en-GB"/>
        </w:rPr>
        <w:t>we can</w:t>
      </w:r>
      <w:r w:rsidR="00F45389" w:rsidRPr="00A70D27">
        <w:rPr>
          <w:rFonts w:ascii="Verdana" w:hAnsi="Verdana"/>
          <w:b/>
          <w:bCs/>
          <w:sz w:val="24"/>
          <w:szCs w:val="24"/>
          <w:lang w:val="en-GB"/>
        </w:rPr>
        <w:t>not</w:t>
      </w:r>
      <w:r w:rsidR="003933D9" w:rsidRPr="00A70D27">
        <w:rPr>
          <w:rFonts w:ascii="Verdana" w:hAnsi="Verdana"/>
          <w:b/>
          <w:bCs/>
          <w:sz w:val="24"/>
          <w:szCs w:val="24"/>
          <w:lang w:val="en-GB"/>
        </w:rPr>
        <w:t xml:space="preserve"> have a lost year </w:t>
      </w:r>
      <w:r w:rsidR="004605A4" w:rsidRPr="00A70D27">
        <w:rPr>
          <w:rFonts w:ascii="Verdana" w:hAnsi="Verdana"/>
          <w:b/>
          <w:bCs/>
          <w:sz w:val="24"/>
          <w:szCs w:val="24"/>
          <w:lang w:val="en-GB"/>
        </w:rPr>
        <w:t xml:space="preserve">with no progress </w:t>
      </w:r>
      <w:r w:rsidR="003933D9" w:rsidRPr="00A70D27">
        <w:rPr>
          <w:rFonts w:ascii="Verdana" w:hAnsi="Verdana"/>
          <w:b/>
          <w:bCs/>
          <w:sz w:val="24"/>
          <w:szCs w:val="24"/>
          <w:lang w:val="en-GB"/>
        </w:rPr>
        <w:t xml:space="preserve">on disability poverty because </w:t>
      </w:r>
      <w:r w:rsidR="00521C7E" w:rsidRPr="00A70D27">
        <w:rPr>
          <w:rFonts w:ascii="Verdana" w:hAnsi="Verdana"/>
          <w:b/>
          <w:bCs/>
          <w:sz w:val="24"/>
          <w:szCs w:val="24"/>
          <w:lang w:val="en-GB"/>
        </w:rPr>
        <w:t xml:space="preserve">of </w:t>
      </w:r>
      <w:r w:rsidR="003933D9" w:rsidRPr="00A70D27">
        <w:rPr>
          <w:rFonts w:ascii="Verdana" w:hAnsi="Verdana"/>
          <w:b/>
          <w:bCs/>
          <w:sz w:val="24"/>
          <w:szCs w:val="24"/>
          <w:lang w:val="en-GB"/>
        </w:rPr>
        <w:t>the Green Paper</w:t>
      </w:r>
      <w:r w:rsidR="00521C7E" w:rsidRPr="00A70D27">
        <w:rPr>
          <w:rFonts w:ascii="Verdana" w:hAnsi="Verdana"/>
          <w:sz w:val="24"/>
          <w:szCs w:val="24"/>
          <w:lang w:val="en-GB"/>
        </w:rPr>
        <w:t xml:space="preserve">. </w:t>
      </w:r>
      <w:r w:rsidR="0014476C" w:rsidRPr="00A70D27">
        <w:rPr>
          <w:rFonts w:ascii="Verdana" w:hAnsi="Verdana"/>
          <w:sz w:val="24"/>
          <w:szCs w:val="24"/>
          <w:lang w:val="en-GB"/>
        </w:rPr>
        <w:t>Positive r</w:t>
      </w:r>
      <w:r w:rsidR="00A7282A" w:rsidRPr="00A70D27">
        <w:rPr>
          <w:rFonts w:ascii="Verdana" w:hAnsi="Verdana"/>
          <w:sz w:val="24"/>
          <w:szCs w:val="24"/>
          <w:lang w:val="en-GB"/>
        </w:rPr>
        <w:t>e</w:t>
      </w:r>
      <w:r w:rsidR="0014476C" w:rsidRPr="00A70D27">
        <w:rPr>
          <w:rFonts w:ascii="Verdana" w:hAnsi="Verdana"/>
          <w:sz w:val="24"/>
          <w:szCs w:val="24"/>
          <w:lang w:val="en-GB"/>
        </w:rPr>
        <w:t>fo</w:t>
      </w:r>
      <w:r w:rsidR="00A7282A" w:rsidRPr="00A70D27">
        <w:rPr>
          <w:rFonts w:ascii="Verdana" w:hAnsi="Verdana"/>
          <w:sz w:val="24"/>
          <w:szCs w:val="24"/>
          <w:lang w:val="en-GB"/>
        </w:rPr>
        <w:t>rm</w:t>
      </w:r>
      <w:r w:rsidR="006169C2" w:rsidRPr="00A70D27">
        <w:rPr>
          <w:rFonts w:ascii="Verdana" w:hAnsi="Verdana"/>
          <w:sz w:val="24"/>
          <w:szCs w:val="24"/>
          <w:lang w:val="en-GB"/>
        </w:rPr>
        <w:t xml:space="preserve"> to address disabled people’s needs</w:t>
      </w:r>
      <w:r w:rsidR="00A7282A" w:rsidRPr="00A70D27">
        <w:rPr>
          <w:rFonts w:ascii="Verdana" w:hAnsi="Verdana"/>
          <w:sz w:val="24"/>
          <w:szCs w:val="24"/>
          <w:lang w:val="en-GB"/>
        </w:rPr>
        <w:t xml:space="preserve"> is still required, </w:t>
      </w:r>
      <w:r w:rsidR="004576E0" w:rsidRPr="00A70D27">
        <w:rPr>
          <w:rFonts w:ascii="Verdana" w:hAnsi="Verdana"/>
          <w:sz w:val="24"/>
          <w:szCs w:val="24"/>
          <w:lang w:val="en-GB"/>
        </w:rPr>
        <w:t xml:space="preserve">but </w:t>
      </w:r>
      <w:r w:rsidR="00A7282A" w:rsidRPr="00A70D27">
        <w:rPr>
          <w:rFonts w:ascii="Verdana" w:hAnsi="Verdana"/>
          <w:sz w:val="24"/>
          <w:szCs w:val="24"/>
          <w:lang w:val="en-GB"/>
        </w:rPr>
        <w:t xml:space="preserve">while </w:t>
      </w:r>
      <w:r w:rsidR="004576E0" w:rsidRPr="00A70D27">
        <w:rPr>
          <w:rFonts w:ascii="Verdana" w:hAnsi="Verdana"/>
          <w:sz w:val="24"/>
          <w:szCs w:val="24"/>
          <w:lang w:val="en-GB"/>
        </w:rPr>
        <w:t>the process is</w:t>
      </w:r>
      <w:r w:rsidR="00A7282A" w:rsidRPr="00A70D27">
        <w:rPr>
          <w:rFonts w:ascii="Verdana" w:hAnsi="Verdana"/>
          <w:sz w:val="24"/>
          <w:szCs w:val="24"/>
          <w:lang w:val="en-GB"/>
        </w:rPr>
        <w:t xml:space="preserve"> paused </w:t>
      </w:r>
      <w:r w:rsidR="004576E0" w:rsidRPr="00A70D27">
        <w:rPr>
          <w:rFonts w:ascii="Verdana" w:hAnsi="Verdana"/>
          <w:sz w:val="24"/>
          <w:szCs w:val="24"/>
          <w:lang w:val="en-GB"/>
        </w:rPr>
        <w:t>the Department should:</w:t>
      </w:r>
      <w:r w:rsidR="00A54357" w:rsidRPr="00A70D27">
        <w:rPr>
          <w:rFonts w:ascii="Verdana" w:hAnsi="Verdana"/>
          <w:sz w:val="24"/>
          <w:szCs w:val="24"/>
          <w:lang w:val="en-GB"/>
        </w:rPr>
        <w:t xml:space="preserve"> </w:t>
      </w:r>
    </w:p>
    <w:p w14:paraId="47B2C19D" w14:textId="64FD8E13" w:rsidR="004576E0" w:rsidRPr="00A61616" w:rsidRDefault="004576E0" w:rsidP="00D816F2">
      <w:pPr>
        <w:pStyle w:val="ListParagraph"/>
        <w:numPr>
          <w:ilvl w:val="0"/>
          <w:numId w:val="38"/>
        </w:numPr>
        <w:rPr>
          <w:rFonts w:ascii="Verdana" w:hAnsi="Verdana"/>
          <w:sz w:val="24"/>
          <w:szCs w:val="24"/>
          <w:lang w:val="en-GB"/>
        </w:rPr>
      </w:pPr>
      <w:r w:rsidRPr="00A61616">
        <w:rPr>
          <w:rFonts w:ascii="Verdana" w:hAnsi="Verdana"/>
          <w:sz w:val="24"/>
          <w:szCs w:val="24"/>
          <w:lang w:val="en-GB"/>
        </w:rPr>
        <w:t>Commence work towards an engagement process around how reform should happen, based on the consolidated recommendations from submission</w:t>
      </w:r>
      <w:r w:rsidR="006250D6" w:rsidRPr="00A61616">
        <w:rPr>
          <w:rFonts w:ascii="Verdana" w:hAnsi="Verdana"/>
          <w:sz w:val="24"/>
          <w:szCs w:val="24"/>
          <w:lang w:val="en-GB"/>
        </w:rPr>
        <w:t>s</w:t>
      </w:r>
      <w:r w:rsidRPr="00A61616">
        <w:rPr>
          <w:rFonts w:ascii="Verdana" w:hAnsi="Verdana"/>
          <w:sz w:val="24"/>
          <w:szCs w:val="24"/>
          <w:lang w:val="en-GB"/>
        </w:rPr>
        <w:t xml:space="preserve"> to the Green Paper consultation.</w:t>
      </w:r>
    </w:p>
    <w:p w14:paraId="1311D9FD" w14:textId="01D553B0" w:rsidR="00E1793F" w:rsidRPr="00A61616" w:rsidRDefault="00B95CE7" w:rsidP="004576E0">
      <w:pPr>
        <w:pStyle w:val="ListParagraph"/>
        <w:numPr>
          <w:ilvl w:val="0"/>
          <w:numId w:val="38"/>
        </w:numPr>
        <w:rPr>
          <w:rFonts w:ascii="Verdana" w:hAnsi="Verdana"/>
          <w:b/>
          <w:bCs/>
          <w:sz w:val="24"/>
          <w:szCs w:val="24"/>
          <w:lang w:val="en-GB"/>
        </w:rPr>
      </w:pPr>
      <w:r w:rsidRPr="00A61616">
        <w:rPr>
          <w:rFonts w:ascii="Verdana" w:hAnsi="Verdana"/>
          <w:b/>
          <w:bCs/>
          <w:sz w:val="24"/>
          <w:szCs w:val="24"/>
          <w:lang w:val="en-GB"/>
        </w:rPr>
        <w:t>Meaningfully address disability poverty in the interim</w:t>
      </w:r>
      <w:r w:rsidR="00A76316" w:rsidRPr="00A61616">
        <w:rPr>
          <w:rFonts w:ascii="Verdana" w:hAnsi="Verdana"/>
          <w:b/>
          <w:bCs/>
          <w:sz w:val="24"/>
          <w:szCs w:val="24"/>
          <w:lang w:val="en-GB"/>
        </w:rPr>
        <w:t xml:space="preserve"> </w:t>
      </w:r>
      <w:r w:rsidR="00D816F2" w:rsidRPr="00A61616">
        <w:rPr>
          <w:rFonts w:ascii="Verdana" w:hAnsi="Verdana"/>
          <w:b/>
          <w:bCs/>
          <w:sz w:val="24"/>
          <w:szCs w:val="24"/>
          <w:lang w:val="en-GB"/>
        </w:rPr>
        <w:t>– disabled people must</w:t>
      </w:r>
      <w:r w:rsidRPr="00A61616">
        <w:rPr>
          <w:rFonts w:ascii="Verdana" w:hAnsi="Verdana"/>
          <w:b/>
          <w:bCs/>
          <w:sz w:val="24"/>
          <w:szCs w:val="24"/>
          <w:lang w:val="en-GB"/>
        </w:rPr>
        <w:t xml:space="preserve"> </w:t>
      </w:r>
      <w:r w:rsidR="00310A1F" w:rsidRPr="00A61616">
        <w:rPr>
          <w:rFonts w:ascii="Verdana" w:hAnsi="Verdana"/>
          <w:b/>
          <w:bCs/>
          <w:sz w:val="24"/>
          <w:szCs w:val="24"/>
          <w:lang w:val="en-GB"/>
        </w:rPr>
        <w:t xml:space="preserve">see </w:t>
      </w:r>
      <w:r w:rsidR="00A76316" w:rsidRPr="00A61616">
        <w:rPr>
          <w:rFonts w:ascii="Verdana" w:hAnsi="Verdana"/>
          <w:b/>
          <w:bCs/>
          <w:sz w:val="24"/>
          <w:szCs w:val="24"/>
          <w:lang w:val="en-GB"/>
        </w:rPr>
        <w:t>action</w:t>
      </w:r>
      <w:r w:rsidR="0073423A" w:rsidRPr="00A61616">
        <w:rPr>
          <w:rFonts w:ascii="Verdana" w:hAnsi="Verdana"/>
          <w:b/>
          <w:bCs/>
          <w:sz w:val="24"/>
          <w:szCs w:val="24"/>
          <w:lang w:val="en-GB"/>
        </w:rPr>
        <w:t>, commitments</w:t>
      </w:r>
      <w:r w:rsidR="00062D8F" w:rsidRPr="00A61616">
        <w:rPr>
          <w:rFonts w:ascii="Verdana" w:hAnsi="Verdana"/>
          <w:b/>
          <w:bCs/>
          <w:sz w:val="24"/>
          <w:szCs w:val="24"/>
          <w:lang w:val="en-GB"/>
        </w:rPr>
        <w:t xml:space="preserve"> and </w:t>
      </w:r>
      <w:r w:rsidR="00C67F9E" w:rsidRPr="00A61616">
        <w:rPr>
          <w:rFonts w:ascii="Verdana" w:hAnsi="Verdana"/>
          <w:b/>
          <w:bCs/>
          <w:sz w:val="24"/>
          <w:szCs w:val="24"/>
          <w:lang w:val="en-GB"/>
        </w:rPr>
        <w:t>allocation of resources in Budget</w:t>
      </w:r>
      <w:r w:rsidR="006308F0" w:rsidRPr="00A61616">
        <w:rPr>
          <w:rFonts w:ascii="Verdana" w:hAnsi="Verdana"/>
          <w:b/>
          <w:bCs/>
          <w:sz w:val="24"/>
          <w:szCs w:val="24"/>
          <w:lang w:val="en-GB"/>
        </w:rPr>
        <w:t xml:space="preserve"> 2025</w:t>
      </w:r>
      <w:r w:rsidR="00C67F9E" w:rsidRPr="00A61616">
        <w:rPr>
          <w:rFonts w:ascii="Verdana" w:hAnsi="Verdana"/>
          <w:b/>
          <w:bCs/>
          <w:sz w:val="24"/>
          <w:szCs w:val="24"/>
          <w:lang w:val="en-GB"/>
        </w:rPr>
        <w:t xml:space="preserve"> to start making </w:t>
      </w:r>
      <w:r w:rsidR="0010312A" w:rsidRPr="00A61616">
        <w:rPr>
          <w:rFonts w:ascii="Verdana" w:hAnsi="Verdana"/>
          <w:b/>
          <w:bCs/>
          <w:sz w:val="24"/>
          <w:szCs w:val="24"/>
          <w:lang w:val="en-GB"/>
        </w:rPr>
        <w:t>progress.</w:t>
      </w:r>
    </w:p>
    <w:p w14:paraId="079B0419" w14:textId="72A0943A" w:rsidR="00467720" w:rsidRDefault="00A020F3" w:rsidP="00EB5C93">
      <w:pPr>
        <w:spacing w:line="276" w:lineRule="auto"/>
        <w:rPr>
          <w:rFonts w:ascii="Verdana" w:hAnsi="Verdana"/>
          <w:sz w:val="24"/>
          <w:szCs w:val="24"/>
        </w:rPr>
      </w:pPr>
      <w:hyperlink r:id="rId12" w:history="1">
        <w:r w:rsidR="00112E4A" w:rsidRPr="00536517">
          <w:rPr>
            <w:rStyle w:val="Hyperlink"/>
            <w:rFonts w:ascii="Verdana" w:hAnsi="Verdana"/>
            <w:sz w:val="24"/>
            <w:szCs w:val="24"/>
          </w:rPr>
          <w:t>To read DFI’s detailed submission to the Green Paper on Disability Reform Consultation, please s</w:t>
        </w:r>
        <w:r w:rsidR="00536517" w:rsidRPr="00536517">
          <w:rPr>
            <w:rStyle w:val="Hyperlink"/>
            <w:rFonts w:ascii="Verdana" w:hAnsi="Verdana"/>
            <w:sz w:val="24"/>
            <w:szCs w:val="24"/>
          </w:rPr>
          <w:t>ee here.</w:t>
        </w:r>
      </w:hyperlink>
      <w:r w:rsidR="00536517">
        <w:rPr>
          <w:rFonts w:ascii="Verdana" w:hAnsi="Verdana"/>
          <w:sz w:val="24"/>
          <w:szCs w:val="24"/>
        </w:rPr>
        <w:t xml:space="preserve"> </w:t>
      </w:r>
    </w:p>
    <w:p w14:paraId="13CB0DCD" w14:textId="6F04B349" w:rsidR="00467720" w:rsidRPr="00F5696B" w:rsidRDefault="00112E4A" w:rsidP="00F5696B">
      <w:pPr>
        <w:pStyle w:val="Heading1"/>
        <w:rPr>
          <w:sz w:val="24"/>
          <w:szCs w:val="24"/>
        </w:rPr>
      </w:pPr>
      <w:bookmarkStart w:id="11" w:name="_Toc171069203"/>
      <w:r w:rsidRPr="00F5696B">
        <w:rPr>
          <w:sz w:val="24"/>
          <w:szCs w:val="24"/>
        </w:rPr>
        <w:t xml:space="preserve">Ways </w:t>
      </w:r>
      <w:r w:rsidR="00A31CA9">
        <w:rPr>
          <w:sz w:val="24"/>
          <w:szCs w:val="24"/>
        </w:rPr>
        <w:t>F</w:t>
      </w:r>
      <w:r w:rsidRPr="00F5696B">
        <w:rPr>
          <w:sz w:val="24"/>
          <w:szCs w:val="24"/>
        </w:rPr>
        <w:t>orward:</w:t>
      </w:r>
      <w:r w:rsidR="00247AD8" w:rsidRPr="00F5696B">
        <w:rPr>
          <w:sz w:val="24"/>
          <w:szCs w:val="24"/>
        </w:rPr>
        <w:t xml:space="preserve"> Cost of Disability Payment is </w:t>
      </w:r>
      <w:r w:rsidR="007808E3" w:rsidRPr="00F5696B">
        <w:rPr>
          <w:sz w:val="24"/>
          <w:szCs w:val="24"/>
        </w:rPr>
        <w:t>E</w:t>
      </w:r>
      <w:r w:rsidR="00247AD8" w:rsidRPr="00F5696B">
        <w:rPr>
          <w:sz w:val="24"/>
          <w:szCs w:val="24"/>
        </w:rPr>
        <w:t>ssential</w:t>
      </w:r>
      <w:bookmarkEnd w:id="11"/>
    </w:p>
    <w:p w14:paraId="35A0DA89" w14:textId="663E7BAF" w:rsidR="00301695" w:rsidRPr="00925FC7" w:rsidRDefault="00247AD8" w:rsidP="00925FC7">
      <w:pPr>
        <w:spacing w:line="276" w:lineRule="auto"/>
        <w:rPr>
          <w:rFonts w:ascii="Verdana" w:hAnsi="Verdana" w:cstheme="minorHAnsi"/>
          <w:bCs/>
          <w:sz w:val="24"/>
          <w:szCs w:val="24"/>
        </w:rPr>
      </w:pPr>
      <w:r w:rsidRPr="00DD121E">
        <w:rPr>
          <w:rFonts w:ascii="Verdana" w:hAnsi="Verdana" w:cstheme="minorHAnsi"/>
          <w:sz w:val="24"/>
          <w:szCs w:val="24"/>
        </w:rPr>
        <w:t>The call for a</w:t>
      </w:r>
      <w:r w:rsidR="00945C5F" w:rsidRPr="00DD121E">
        <w:rPr>
          <w:rFonts w:ascii="Verdana" w:hAnsi="Verdana" w:cstheme="minorHAnsi"/>
          <w:sz w:val="24"/>
          <w:szCs w:val="24"/>
        </w:rPr>
        <w:t xml:space="preserve"> </w:t>
      </w:r>
      <w:r w:rsidR="00EB5C93" w:rsidRPr="00DD121E">
        <w:rPr>
          <w:rFonts w:ascii="Verdana" w:hAnsi="Verdana" w:cstheme="minorHAnsi"/>
          <w:b/>
          <w:sz w:val="24"/>
          <w:szCs w:val="24"/>
        </w:rPr>
        <w:t>Cost of Disability payment</w:t>
      </w:r>
      <w:r w:rsidRPr="00DD121E">
        <w:rPr>
          <w:rFonts w:ascii="Verdana" w:hAnsi="Verdana" w:cstheme="minorHAnsi"/>
          <w:b/>
          <w:sz w:val="24"/>
          <w:szCs w:val="24"/>
        </w:rPr>
        <w:t xml:space="preserve"> goes back to </w:t>
      </w:r>
      <w:r w:rsidR="00EA3CC1" w:rsidRPr="00DD121E">
        <w:rPr>
          <w:rFonts w:ascii="Verdana" w:hAnsi="Verdana" w:cstheme="minorHAnsi"/>
          <w:b/>
          <w:sz w:val="24"/>
          <w:szCs w:val="24"/>
        </w:rPr>
        <w:t>1996</w:t>
      </w:r>
      <w:r w:rsidRPr="00DD121E">
        <w:rPr>
          <w:rFonts w:ascii="Verdana" w:hAnsi="Verdana" w:cstheme="minorHAnsi"/>
          <w:b/>
          <w:sz w:val="24"/>
          <w:szCs w:val="24"/>
        </w:rPr>
        <w:t xml:space="preserve">, </w:t>
      </w:r>
      <w:r w:rsidRPr="00DD121E">
        <w:rPr>
          <w:rFonts w:ascii="Verdana" w:hAnsi="Verdana" w:cstheme="minorHAnsi"/>
          <w:bCs/>
          <w:sz w:val="24"/>
          <w:szCs w:val="24"/>
        </w:rPr>
        <w:t>when the Commission on the Status</w:t>
      </w:r>
      <w:r w:rsidR="00301695" w:rsidRPr="00DD121E">
        <w:rPr>
          <w:rFonts w:ascii="Verdana" w:hAnsi="Verdana" w:cstheme="minorHAnsi"/>
          <w:bCs/>
          <w:sz w:val="24"/>
          <w:szCs w:val="24"/>
        </w:rPr>
        <w:t xml:space="preserve"> of People with Disabilities recommended it</w:t>
      </w:r>
      <w:r w:rsidRPr="00DD121E">
        <w:rPr>
          <w:rFonts w:ascii="Verdana" w:hAnsi="Verdana" w:cstheme="minorHAnsi"/>
          <w:bCs/>
          <w:sz w:val="24"/>
          <w:szCs w:val="24"/>
        </w:rPr>
        <w:t>.</w:t>
      </w:r>
      <w:r w:rsidRPr="00DD121E">
        <w:rPr>
          <w:rFonts w:ascii="Verdana" w:hAnsi="Verdana" w:cstheme="minorHAnsi"/>
          <w:b/>
          <w:sz w:val="24"/>
          <w:szCs w:val="24"/>
        </w:rPr>
        <w:t xml:space="preserve"> </w:t>
      </w:r>
      <w:r w:rsidR="00301695">
        <w:rPr>
          <w:rFonts w:ascii="Verdana" w:hAnsi="Verdana"/>
          <w:sz w:val="24"/>
          <w:szCs w:val="24"/>
          <w:lang w:val="en-GB"/>
        </w:rPr>
        <w:t>The Commission called for</w:t>
      </w:r>
      <w:r w:rsidR="00301695" w:rsidRPr="00F52A59">
        <w:rPr>
          <w:rFonts w:ascii="Verdana" w:hAnsi="Verdana"/>
          <w:sz w:val="24"/>
          <w:szCs w:val="24"/>
          <w:lang w:val="en-GB"/>
        </w:rPr>
        <w:t xml:space="preserve"> </w:t>
      </w:r>
      <w:r w:rsidR="00301695">
        <w:rPr>
          <w:rFonts w:ascii="Verdana" w:hAnsi="Verdana"/>
          <w:sz w:val="24"/>
          <w:szCs w:val="24"/>
          <w:lang w:val="en-GB"/>
        </w:rPr>
        <w:t>“</w:t>
      </w:r>
      <w:r w:rsidR="00301695" w:rsidRPr="00F52A59">
        <w:rPr>
          <w:rFonts w:ascii="Verdana" w:hAnsi="Verdana"/>
          <w:sz w:val="24"/>
          <w:szCs w:val="24"/>
          <w:lang w:val="en-GB"/>
        </w:rPr>
        <w:t xml:space="preserve">a graduated payment to meet the additional everyday costs associated with disability. This payment, which would be </w:t>
      </w:r>
      <w:r w:rsidR="00301695" w:rsidRPr="00F52A59">
        <w:rPr>
          <w:rFonts w:ascii="Verdana" w:hAnsi="Verdana"/>
          <w:sz w:val="24"/>
          <w:szCs w:val="24"/>
          <w:lang w:val="en-GB"/>
        </w:rPr>
        <w:lastRenderedPageBreak/>
        <w:t>made irrespective of whether the person is at work or not, would be called the 'Costs of Disability Payment'</w:t>
      </w:r>
      <w:r w:rsidR="007C7EEE">
        <w:rPr>
          <w:rFonts w:ascii="Verdana" w:hAnsi="Verdana"/>
          <w:sz w:val="24"/>
          <w:szCs w:val="24"/>
          <w:lang w:val="en-GB"/>
        </w:rPr>
        <w:t>.</w:t>
      </w:r>
      <w:r w:rsidR="00A001AD">
        <w:rPr>
          <w:rStyle w:val="FootnoteReference"/>
          <w:rFonts w:ascii="Verdana" w:hAnsi="Verdana"/>
          <w:sz w:val="24"/>
          <w:szCs w:val="24"/>
          <w:lang w:val="en-GB"/>
        </w:rPr>
        <w:footnoteReference w:id="24"/>
      </w:r>
      <w:r w:rsidR="00925FC7">
        <w:rPr>
          <w:rFonts w:ascii="Verdana" w:hAnsi="Verdana"/>
          <w:sz w:val="24"/>
          <w:szCs w:val="24"/>
          <w:lang w:val="en-GB"/>
        </w:rPr>
        <w:t xml:space="preserve"> </w:t>
      </w:r>
      <w:r w:rsidR="00925FC7" w:rsidRPr="00925FC7">
        <w:rPr>
          <w:rFonts w:ascii="Verdana" w:hAnsi="Verdana" w:cstheme="minorHAnsi"/>
          <w:bCs/>
          <w:sz w:val="24"/>
          <w:szCs w:val="24"/>
        </w:rPr>
        <w:t xml:space="preserve">Since then this has been a common call from disability organisations. It is an essential first step to tackle the extra costs disabled people live with. </w:t>
      </w:r>
    </w:p>
    <w:p w14:paraId="587BE911" w14:textId="0AE9B2EE" w:rsidR="00A001AD" w:rsidRPr="0001778C" w:rsidRDefault="00A001AD" w:rsidP="002244BD">
      <w:pPr>
        <w:rPr>
          <w:rFonts w:ascii="Verdana" w:hAnsi="Verdana"/>
          <w:sz w:val="24"/>
          <w:szCs w:val="24"/>
          <w:lang w:val="en-GB"/>
        </w:rPr>
      </w:pPr>
      <w:r>
        <w:rPr>
          <w:rFonts w:ascii="Verdana" w:hAnsi="Verdana"/>
          <w:sz w:val="24"/>
          <w:szCs w:val="24"/>
          <w:lang w:val="en-GB"/>
        </w:rPr>
        <w:t xml:space="preserve">Such an approach </w:t>
      </w:r>
      <w:r w:rsidR="00CC07C4">
        <w:rPr>
          <w:rFonts w:ascii="Verdana" w:hAnsi="Verdana"/>
          <w:sz w:val="24"/>
          <w:szCs w:val="24"/>
          <w:lang w:val="en-GB"/>
        </w:rPr>
        <w:t>would be</w:t>
      </w:r>
      <w:r>
        <w:rPr>
          <w:rFonts w:ascii="Verdana" w:hAnsi="Verdana"/>
          <w:sz w:val="24"/>
          <w:szCs w:val="24"/>
          <w:lang w:val="en-GB"/>
        </w:rPr>
        <w:t xml:space="preserve"> in keeping with </w:t>
      </w:r>
      <w:r w:rsidR="001D60D4">
        <w:rPr>
          <w:rFonts w:ascii="Verdana" w:hAnsi="Verdana"/>
          <w:sz w:val="24"/>
          <w:szCs w:val="24"/>
          <w:lang w:val="en-GB"/>
        </w:rPr>
        <w:t xml:space="preserve">international </w:t>
      </w:r>
      <w:r>
        <w:rPr>
          <w:rFonts w:ascii="Verdana" w:hAnsi="Verdana"/>
          <w:sz w:val="24"/>
          <w:szCs w:val="24"/>
          <w:lang w:val="en-GB"/>
        </w:rPr>
        <w:t>recommendations</w:t>
      </w:r>
      <w:r w:rsidR="001D60D4">
        <w:rPr>
          <w:rFonts w:ascii="Verdana" w:hAnsi="Verdana"/>
          <w:sz w:val="24"/>
          <w:szCs w:val="24"/>
          <w:lang w:val="en-GB"/>
        </w:rPr>
        <w:t xml:space="preserve">. </w:t>
      </w:r>
      <w:r w:rsidR="00FE5ADF">
        <w:rPr>
          <w:rFonts w:ascii="Verdana" w:hAnsi="Verdana"/>
          <w:sz w:val="24"/>
          <w:szCs w:val="24"/>
          <w:lang w:val="en-GB"/>
        </w:rPr>
        <w:t>T</w:t>
      </w:r>
      <w:r>
        <w:rPr>
          <w:rFonts w:ascii="Verdana" w:hAnsi="Verdana"/>
          <w:sz w:val="24"/>
          <w:szCs w:val="24"/>
          <w:lang w:val="en-GB"/>
        </w:rPr>
        <w:t xml:space="preserve">he International Labour Organisation recommends that: </w:t>
      </w:r>
      <w:r w:rsidRPr="001B57D2">
        <w:rPr>
          <w:rFonts w:ascii="Verdana" w:hAnsi="Verdana"/>
          <w:sz w:val="24"/>
          <w:szCs w:val="24"/>
          <w:lang w:val="en-GB"/>
        </w:rPr>
        <w:t>“To cover basic disability-related costs, countries should seek to introduce (quasi) universal disability-specific cash benefit which are compatible with work and with other benefits providing income security.”</w:t>
      </w:r>
      <w:r w:rsidRPr="001B57D2">
        <w:rPr>
          <w:rStyle w:val="FootnoteReference"/>
          <w:rFonts w:ascii="Verdana" w:hAnsi="Verdana"/>
          <w:sz w:val="24"/>
          <w:szCs w:val="24"/>
          <w:lang w:val="en-GB"/>
        </w:rPr>
        <w:footnoteReference w:id="25"/>
      </w:r>
      <w:r>
        <w:rPr>
          <w:rFonts w:ascii="Verdana" w:hAnsi="Verdana"/>
          <w:sz w:val="24"/>
          <w:szCs w:val="24"/>
          <w:lang w:val="en-GB"/>
        </w:rPr>
        <w:t xml:space="preserve"> </w:t>
      </w:r>
      <w:r w:rsidRPr="00AD131B">
        <w:rPr>
          <w:rFonts w:ascii="Verdana" w:hAnsi="Verdana"/>
          <w:sz w:val="24"/>
          <w:szCs w:val="24"/>
          <w:lang w:val="en-GB"/>
        </w:rPr>
        <w:t>The OECD has made similar recommendations</w:t>
      </w:r>
      <w:r>
        <w:rPr>
          <w:rFonts w:ascii="Verdana" w:hAnsi="Verdana"/>
          <w:sz w:val="24"/>
          <w:szCs w:val="24"/>
          <w:lang w:val="en-GB"/>
        </w:rPr>
        <w:t xml:space="preserve"> -</w:t>
      </w:r>
      <w:r w:rsidRPr="00AD131B">
        <w:rPr>
          <w:rFonts w:ascii="Verdana" w:hAnsi="Verdana"/>
          <w:sz w:val="24"/>
          <w:szCs w:val="24"/>
          <w:lang w:val="en-GB"/>
        </w:rPr>
        <w:t xml:space="preserve"> </w:t>
      </w:r>
      <w:r w:rsidR="00FE5ADF">
        <w:rPr>
          <w:rFonts w:ascii="Verdana" w:hAnsi="Verdana"/>
          <w:sz w:val="24"/>
          <w:szCs w:val="24"/>
          <w:lang w:val="en-GB"/>
        </w:rPr>
        <w:t>its</w:t>
      </w:r>
      <w:r w:rsidRPr="00AD131B">
        <w:rPr>
          <w:rFonts w:ascii="Verdana" w:hAnsi="Verdana"/>
          <w:sz w:val="24"/>
          <w:szCs w:val="24"/>
          <w:lang w:val="en-GB"/>
        </w:rPr>
        <w:t xml:space="preserve"> 2008 report recommended Ireland</w:t>
      </w:r>
      <w:r w:rsidR="002244BD">
        <w:rPr>
          <w:rFonts w:ascii="Verdana" w:hAnsi="Verdana"/>
          <w:sz w:val="24"/>
          <w:szCs w:val="24"/>
          <w:lang w:val="en-GB"/>
        </w:rPr>
        <w:t xml:space="preserve"> a</w:t>
      </w:r>
      <w:r w:rsidRPr="004E321C">
        <w:rPr>
          <w:rFonts w:ascii="Verdana" w:hAnsi="Verdana"/>
          <w:sz w:val="24"/>
          <w:szCs w:val="24"/>
          <w:lang w:val="en-GB"/>
        </w:rPr>
        <w:t>ddress the low level of income of people with disabilit</w:t>
      </w:r>
      <w:r w:rsidR="00A60999">
        <w:rPr>
          <w:rFonts w:ascii="Verdana" w:hAnsi="Verdana"/>
          <w:sz w:val="24"/>
          <w:szCs w:val="24"/>
          <w:lang w:val="en-GB"/>
        </w:rPr>
        <w:t>ies</w:t>
      </w:r>
      <w:r w:rsidR="002244BD">
        <w:rPr>
          <w:rFonts w:ascii="Verdana" w:hAnsi="Verdana"/>
          <w:sz w:val="24"/>
          <w:szCs w:val="24"/>
          <w:lang w:val="en-GB"/>
        </w:rPr>
        <w:t xml:space="preserve"> </w:t>
      </w:r>
      <w:r w:rsidR="00E04779">
        <w:rPr>
          <w:rFonts w:ascii="Verdana" w:hAnsi="Verdana"/>
          <w:sz w:val="24"/>
          <w:szCs w:val="24"/>
          <w:lang w:val="en-GB"/>
        </w:rPr>
        <w:t>and “c</w:t>
      </w:r>
      <w:r w:rsidRPr="0001778C">
        <w:rPr>
          <w:rFonts w:ascii="Verdana" w:hAnsi="Verdana"/>
          <w:sz w:val="24"/>
          <w:szCs w:val="24"/>
          <w:lang w:val="en-GB"/>
        </w:rPr>
        <w:t>onsider introducing more adequate payments to compensate these costs so as to reduce the high level of income poverty of this population group. Any such payments should be independent of the work status and separate from income support payments.</w:t>
      </w:r>
      <w:r w:rsidR="00E04779">
        <w:rPr>
          <w:rFonts w:ascii="Verdana" w:hAnsi="Verdana"/>
          <w:sz w:val="24"/>
          <w:szCs w:val="24"/>
          <w:lang w:val="en-GB"/>
        </w:rPr>
        <w:t>”</w:t>
      </w:r>
      <w:r w:rsidRPr="0001778C">
        <w:rPr>
          <w:rStyle w:val="FootnoteReference"/>
          <w:rFonts w:ascii="Verdana" w:hAnsi="Verdana"/>
          <w:sz w:val="24"/>
          <w:szCs w:val="24"/>
          <w:lang w:val="en-GB"/>
        </w:rPr>
        <w:footnoteReference w:id="26"/>
      </w:r>
    </w:p>
    <w:p w14:paraId="24A90852" w14:textId="40E23441" w:rsidR="00A001AD" w:rsidRPr="00785763" w:rsidRDefault="00A001AD" w:rsidP="00A001AD">
      <w:pPr>
        <w:rPr>
          <w:rFonts w:ascii="Verdana" w:hAnsi="Verdana"/>
          <w:sz w:val="24"/>
          <w:szCs w:val="24"/>
          <w:lang w:val="en-GB"/>
        </w:rPr>
      </w:pPr>
      <w:r>
        <w:rPr>
          <w:rFonts w:ascii="Verdana" w:hAnsi="Verdana"/>
          <w:sz w:val="24"/>
          <w:szCs w:val="24"/>
          <w:lang w:val="en-GB"/>
        </w:rPr>
        <w:t>At the Dublin</w:t>
      </w:r>
      <w:r w:rsidRPr="00785763">
        <w:rPr>
          <w:rFonts w:ascii="Verdana" w:hAnsi="Verdana"/>
          <w:sz w:val="24"/>
          <w:szCs w:val="24"/>
          <w:lang w:val="en-GB"/>
        </w:rPr>
        <w:t xml:space="preserve"> Green </w:t>
      </w:r>
      <w:r>
        <w:rPr>
          <w:rFonts w:ascii="Verdana" w:hAnsi="Verdana"/>
          <w:sz w:val="24"/>
          <w:szCs w:val="24"/>
          <w:lang w:val="en-GB"/>
        </w:rPr>
        <w:t>P</w:t>
      </w:r>
      <w:r w:rsidRPr="00785763">
        <w:rPr>
          <w:rFonts w:ascii="Verdana" w:hAnsi="Verdana"/>
          <w:sz w:val="24"/>
          <w:szCs w:val="24"/>
          <w:lang w:val="en-GB"/>
        </w:rPr>
        <w:t>aper Consultation</w:t>
      </w:r>
      <w:r>
        <w:rPr>
          <w:rFonts w:ascii="Verdana" w:hAnsi="Verdana"/>
          <w:sz w:val="24"/>
          <w:szCs w:val="24"/>
          <w:lang w:val="en-GB"/>
        </w:rPr>
        <w:t xml:space="preserve"> event (2023), </w:t>
      </w:r>
      <w:r w:rsidRPr="00785763">
        <w:rPr>
          <w:rFonts w:ascii="Verdana" w:hAnsi="Verdana"/>
          <w:sz w:val="24"/>
          <w:szCs w:val="24"/>
          <w:lang w:val="en-GB"/>
        </w:rPr>
        <w:t>Christopher Prinz</w:t>
      </w:r>
      <w:r>
        <w:rPr>
          <w:rFonts w:ascii="Verdana" w:hAnsi="Verdana"/>
          <w:sz w:val="24"/>
          <w:szCs w:val="24"/>
          <w:lang w:val="en-GB"/>
        </w:rPr>
        <w:t xml:space="preserve"> emphasised the necessity of a Cost of Disability payment. His presentation offered five </w:t>
      </w:r>
      <w:proofErr w:type="gramStart"/>
      <w:r>
        <w:rPr>
          <w:rFonts w:ascii="Verdana" w:hAnsi="Verdana"/>
          <w:sz w:val="24"/>
          <w:szCs w:val="24"/>
          <w:lang w:val="en-GB"/>
        </w:rPr>
        <w:t>key</w:t>
      </w:r>
      <w:proofErr w:type="gramEnd"/>
      <w:r>
        <w:rPr>
          <w:rFonts w:ascii="Verdana" w:hAnsi="Verdana"/>
          <w:sz w:val="24"/>
          <w:szCs w:val="24"/>
          <w:lang w:val="en-GB"/>
        </w:rPr>
        <w:t xml:space="preserve"> ‘Lessons’ for Ireland, one of which was titled “</w:t>
      </w:r>
      <w:r w:rsidRPr="008A1660">
        <w:rPr>
          <w:rFonts w:ascii="Verdana" w:hAnsi="Verdana"/>
          <w:b/>
          <w:bCs/>
          <w:sz w:val="24"/>
          <w:szCs w:val="24"/>
          <w:lang w:val="en-GB"/>
        </w:rPr>
        <w:t>Cost-of-disability payments are essential</w:t>
      </w:r>
      <w:r>
        <w:rPr>
          <w:rFonts w:ascii="Verdana" w:hAnsi="Verdana"/>
          <w:sz w:val="24"/>
          <w:szCs w:val="24"/>
          <w:lang w:val="en-GB"/>
        </w:rPr>
        <w:t>”.</w:t>
      </w:r>
      <w:r>
        <w:rPr>
          <w:rStyle w:val="FootnoteReference"/>
          <w:rFonts w:ascii="Verdana" w:hAnsi="Verdana"/>
          <w:sz w:val="24"/>
          <w:szCs w:val="24"/>
          <w:lang w:val="en-GB"/>
        </w:rPr>
        <w:footnoteReference w:id="27"/>
      </w:r>
      <w:r>
        <w:rPr>
          <w:rFonts w:ascii="Verdana" w:hAnsi="Verdana"/>
          <w:sz w:val="24"/>
          <w:szCs w:val="24"/>
          <w:lang w:val="en-GB"/>
        </w:rPr>
        <w:t xml:space="preserve"> His presentation also stated that “</w:t>
      </w:r>
      <w:r w:rsidRPr="005C0956">
        <w:rPr>
          <w:rFonts w:ascii="Verdana" w:hAnsi="Verdana"/>
          <w:sz w:val="24"/>
          <w:szCs w:val="24"/>
          <w:lang w:val="en-GB"/>
        </w:rPr>
        <w:t>Cost-of-disability payments are much fairer, not hindering employment</w:t>
      </w:r>
      <w:r>
        <w:rPr>
          <w:rFonts w:ascii="Verdana" w:hAnsi="Verdana"/>
          <w:sz w:val="24"/>
          <w:szCs w:val="24"/>
          <w:lang w:val="en-GB"/>
        </w:rPr>
        <w:t xml:space="preserve"> </w:t>
      </w:r>
      <w:r w:rsidRPr="005C0956">
        <w:rPr>
          <w:rFonts w:ascii="Verdana" w:hAnsi="Verdana"/>
          <w:sz w:val="24"/>
          <w:szCs w:val="24"/>
          <w:lang w:val="en-GB"/>
        </w:rPr>
        <w:t>and thus much more likely to help people out of poverty</w:t>
      </w:r>
      <w:r>
        <w:rPr>
          <w:rFonts w:ascii="Verdana" w:hAnsi="Verdana"/>
          <w:sz w:val="24"/>
          <w:szCs w:val="24"/>
          <w:lang w:val="en-GB"/>
        </w:rPr>
        <w:t xml:space="preserve">”. </w:t>
      </w:r>
      <w:proofErr w:type="gramStart"/>
      <w:r>
        <w:rPr>
          <w:rFonts w:ascii="Verdana" w:hAnsi="Verdana"/>
          <w:sz w:val="24"/>
          <w:szCs w:val="24"/>
          <w:lang w:val="en-GB"/>
        </w:rPr>
        <w:t>Indeed</w:t>
      </w:r>
      <w:proofErr w:type="gramEnd"/>
      <w:r>
        <w:rPr>
          <w:rFonts w:ascii="Verdana" w:hAnsi="Verdana"/>
          <w:sz w:val="24"/>
          <w:szCs w:val="24"/>
          <w:lang w:val="en-GB"/>
        </w:rPr>
        <w:t xml:space="preserve"> Prinz argued that </w:t>
      </w:r>
      <w:r w:rsidRPr="008A1660">
        <w:rPr>
          <w:rFonts w:ascii="Verdana" w:hAnsi="Verdana"/>
          <w:b/>
          <w:bCs/>
          <w:sz w:val="24"/>
          <w:szCs w:val="24"/>
          <w:lang w:val="en-GB"/>
        </w:rPr>
        <w:t>Ireland could be a global leader in this area by bringing in a Cost of Disability payment</w:t>
      </w:r>
      <w:r>
        <w:rPr>
          <w:rFonts w:ascii="Verdana" w:hAnsi="Verdana"/>
          <w:sz w:val="24"/>
          <w:szCs w:val="24"/>
          <w:lang w:val="en-GB"/>
        </w:rPr>
        <w:t xml:space="preserve">. </w:t>
      </w:r>
    </w:p>
    <w:p w14:paraId="2D8EAABB" w14:textId="58F36FEB" w:rsidR="000E49DB" w:rsidRPr="0058459F" w:rsidRDefault="005E3841" w:rsidP="00436C15">
      <w:pPr>
        <w:spacing w:line="276" w:lineRule="auto"/>
        <w:rPr>
          <w:rFonts w:ascii="Verdana" w:hAnsi="Verdana" w:cstheme="minorHAnsi"/>
          <w:sz w:val="24"/>
          <w:szCs w:val="24"/>
        </w:rPr>
      </w:pPr>
      <w:r>
        <w:rPr>
          <w:rFonts w:ascii="Verdana" w:hAnsi="Verdana" w:cstheme="minorHAnsi"/>
          <w:sz w:val="24"/>
          <w:szCs w:val="24"/>
        </w:rPr>
        <w:t xml:space="preserve">It </w:t>
      </w:r>
      <w:r w:rsidR="002808F2">
        <w:rPr>
          <w:rFonts w:ascii="Verdana" w:hAnsi="Verdana" w:cstheme="minorHAnsi"/>
          <w:sz w:val="24"/>
          <w:szCs w:val="24"/>
        </w:rPr>
        <w:t>is un</w:t>
      </w:r>
      <w:r>
        <w:rPr>
          <w:rFonts w:ascii="Verdana" w:hAnsi="Verdana" w:cstheme="minorHAnsi"/>
          <w:sz w:val="24"/>
          <w:szCs w:val="24"/>
        </w:rPr>
        <w:t>deniable</w:t>
      </w:r>
      <w:r w:rsidR="002808F2">
        <w:rPr>
          <w:rFonts w:ascii="Verdana" w:hAnsi="Verdana" w:cstheme="minorHAnsi"/>
          <w:sz w:val="24"/>
          <w:szCs w:val="24"/>
        </w:rPr>
        <w:t xml:space="preserve"> that f</w:t>
      </w:r>
      <w:r w:rsidR="00BD45C5">
        <w:rPr>
          <w:rFonts w:ascii="Verdana" w:hAnsi="Verdana" w:cstheme="minorHAnsi"/>
          <w:sz w:val="24"/>
          <w:szCs w:val="24"/>
        </w:rPr>
        <w:t xml:space="preserve">ully addressing the costs documented in the </w:t>
      </w:r>
      <w:proofErr w:type="spellStart"/>
      <w:r w:rsidR="00BD45C5">
        <w:rPr>
          <w:rFonts w:ascii="Verdana" w:hAnsi="Verdana" w:cstheme="minorHAnsi"/>
          <w:sz w:val="24"/>
          <w:szCs w:val="24"/>
        </w:rPr>
        <w:t>I</w:t>
      </w:r>
      <w:r w:rsidR="00E505CC">
        <w:rPr>
          <w:rFonts w:ascii="Verdana" w:hAnsi="Verdana" w:cstheme="minorHAnsi"/>
          <w:sz w:val="24"/>
          <w:szCs w:val="24"/>
        </w:rPr>
        <w:t>ndecon</w:t>
      </w:r>
      <w:proofErr w:type="spellEnd"/>
      <w:r w:rsidR="00E505CC">
        <w:rPr>
          <w:rFonts w:ascii="Verdana" w:hAnsi="Verdana" w:cstheme="minorHAnsi"/>
          <w:sz w:val="24"/>
          <w:szCs w:val="24"/>
        </w:rPr>
        <w:t xml:space="preserve"> </w:t>
      </w:r>
      <w:r w:rsidR="00BD45C5">
        <w:rPr>
          <w:rFonts w:ascii="Verdana" w:hAnsi="Verdana" w:cstheme="minorHAnsi"/>
          <w:sz w:val="24"/>
          <w:szCs w:val="24"/>
        </w:rPr>
        <w:t xml:space="preserve">report </w:t>
      </w:r>
      <w:r w:rsidR="003F1AA6">
        <w:rPr>
          <w:rFonts w:ascii="Verdana" w:hAnsi="Verdana" w:cstheme="minorHAnsi"/>
          <w:sz w:val="24"/>
          <w:szCs w:val="24"/>
        </w:rPr>
        <w:t>necessitates</w:t>
      </w:r>
      <w:r w:rsidR="00BD45C5">
        <w:rPr>
          <w:rFonts w:ascii="Verdana" w:hAnsi="Verdana" w:cstheme="minorHAnsi"/>
          <w:sz w:val="24"/>
          <w:szCs w:val="24"/>
        </w:rPr>
        <w:t xml:space="preserve"> </w:t>
      </w:r>
      <w:r w:rsidR="002808F2">
        <w:rPr>
          <w:rFonts w:ascii="Verdana" w:hAnsi="Verdana" w:cstheme="minorHAnsi"/>
          <w:sz w:val="24"/>
          <w:szCs w:val="24"/>
        </w:rPr>
        <w:t xml:space="preserve">coordinated and considered </w:t>
      </w:r>
      <w:r w:rsidR="00BD45C5">
        <w:rPr>
          <w:rFonts w:ascii="Verdana" w:hAnsi="Verdana" w:cstheme="minorHAnsi"/>
          <w:sz w:val="24"/>
          <w:szCs w:val="24"/>
        </w:rPr>
        <w:t>action across numerous government Departments</w:t>
      </w:r>
      <w:r>
        <w:rPr>
          <w:rFonts w:ascii="Verdana" w:hAnsi="Verdana" w:cstheme="minorHAnsi"/>
          <w:sz w:val="24"/>
          <w:szCs w:val="24"/>
        </w:rPr>
        <w:t xml:space="preserve"> and policy areas far beyond this Department’s remit</w:t>
      </w:r>
      <w:r w:rsidR="003F1AA6">
        <w:rPr>
          <w:rFonts w:ascii="Verdana" w:hAnsi="Verdana" w:cstheme="minorHAnsi"/>
          <w:sz w:val="24"/>
          <w:szCs w:val="24"/>
        </w:rPr>
        <w:t xml:space="preserve"> (including Health, Housing, Transport etc)</w:t>
      </w:r>
      <w:r w:rsidR="00FD1A06">
        <w:rPr>
          <w:rFonts w:ascii="Verdana" w:hAnsi="Verdana" w:cstheme="minorHAnsi"/>
          <w:sz w:val="24"/>
          <w:szCs w:val="24"/>
        </w:rPr>
        <w:t>,</w:t>
      </w:r>
      <w:r w:rsidR="002808F2">
        <w:rPr>
          <w:rFonts w:ascii="Verdana" w:hAnsi="Verdana" w:cstheme="minorHAnsi"/>
          <w:sz w:val="24"/>
          <w:szCs w:val="24"/>
        </w:rPr>
        <w:t xml:space="preserve"> as we outline</w:t>
      </w:r>
      <w:r w:rsidR="00CC4449">
        <w:rPr>
          <w:rFonts w:ascii="Verdana" w:hAnsi="Verdana" w:cstheme="minorHAnsi"/>
          <w:sz w:val="24"/>
          <w:szCs w:val="24"/>
        </w:rPr>
        <w:t>d</w:t>
      </w:r>
      <w:r w:rsidR="002808F2">
        <w:rPr>
          <w:rFonts w:ascii="Verdana" w:hAnsi="Verdana" w:cstheme="minorHAnsi"/>
          <w:sz w:val="24"/>
          <w:szCs w:val="24"/>
        </w:rPr>
        <w:t xml:space="preserve"> in our Green Paper submission.</w:t>
      </w:r>
      <w:r w:rsidR="00CE01FA">
        <w:rPr>
          <w:rFonts w:ascii="Verdana" w:hAnsi="Verdana" w:cstheme="minorHAnsi"/>
          <w:sz w:val="24"/>
          <w:szCs w:val="24"/>
        </w:rPr>
        <w:t xml:space="preserve"> </w:t>
      </w:r>
      <w:r w:rsidR="002808F2">
        <w:rPr>
          <w:rFonts w:ascii="Verdana" w:hAnsi="Verdana" w:cstheme="minorHAnsi"/>
          <w:sz w:val="24"/>
          <w:szCs w:val="24"/>
        </w:rPr>
        <w:t>However</w:t>
      </w:r>
      <w:r w:rsidR="00FD1A06">
        <w:rPr>
          <w:rFonts w:ascii="Verdana" w:hAnsi="Verdana" w:cstheme="minorHAnsi"/>
          <w:sz w:val="24"/>
          <w:szCs w:val="24"/>
        </w:rPr>
        <w:t xml:space="preserve"> the Department</w:t>
      </w:r>
      <w:r w:rsidR="0012478F">
        <w:rPr>
          <w:rFonts w:ascii="Verdana" w:hAnsi="Verdana" w:cstheme="minorHAnsi"/>
          <w:sz w:val="24"/>
          <w:szCs w:val="24"/>
        </w:rPr>
        <w:t xml:space="preserve"> of Social Protection</w:t>
      </w:r>
      <w:r w:rsidR="001123E1">
        <w:rPr>
          <w:rFonts w:ascii="Verdana" w:hAnsi="Verdana" w:cstheme="minorHAnsi"/>
          <w:sz w:val="24"/>
          <w:szCs w:val="24"/>
        </w:rPr>
        <w:t xml:space="preserve"> is the Department with the mandate and core responsibility for </w:t>
      </w:r>
      <w:r w:rsidR="000D2185">
        <w:rPr>
          <w:rFonts w:ascii="Verdana" w:hAnsi="Verdana" w:cstheme="minorHAnsi"/>
          <w:sz w:val="24"/>
          <w:szCs w:val="24"/>
        </w:rPr>
        <w:t>poverty reduction</w:t>
      </w:r>
      <w:r w:rsidR="002641D5">
        <w:rPr>
          <w:rFonts w:ascii="Verdana" w:hAnsi="Verdana" w:cstheme="minorHAnsi"/>
          <w:sz w:val="24"/>
          <w:szCs w:val="24"/>
        </w:rPr>
        <w:t>, and this</w:t>
      </w:r>
      <w:r w:rsidR="000D2185">
        <w:rPr>
          <w:rFonts w:ascii="Verdana" w:hAnsi="Verdana" w:cstheme="minorHAnsi"/>
          <w:sz w:val="24"/>
          <w:szCs w:val="24"/>
        </w:rPr>
        <w:t xml:space="preserve"> requires it to address the income inadequacies highlighted</w:t>
      </w:r>
      <w:r w:rsidR="00DB5F66">
        <w:rPr>
          <w:rFonts w:ascii="Verdana" w:hAnsi="Verdana" w:cstheme="minorHAnsi"/>
          <w:sz w:val="24"/>
          <w:szCs w:val="24"/>
        </w:rPr>
        <w:t xml:space="preserve"> by the report</w:t>
      </w:r>
      <w:r w:rsidR="0058459F">
        <w:rPr>
          <w:rFonts w:ascii="Verdana" w:hAnsi="Verdana" w:cstheme="minorHAnsi"/>
          <w:sz w:val="24"/>
          <w:szCs w:val="24"/>
        </w:rPr>
        <w:t>. This is particularly essential and urgent</w:t>
      </w:r>
      <w:r w:rsidR="008A33FF">
        <w:rPr>
          <w:rFonts w:ascii="Verdana" w:hAnsi="Verdana" w:cstheme="minorHAnsi"/>
          <w:sz w:val="24"/>
          <w:szCs w:val="24"/>
        </w:rPr>
        <w:t xml:space="preserve"> </w:t>
      </w:r>
      <w:r w:rsidR="00CC4449">
        <w:rPr>
          <w:rFonts w:ascii="Verdana" w:hAnsi="Verdana" w:cstheme="minorHAnsi"/>
          <w:sz w:val="24"/>
          <w:szCs w:val="24"/>
        </w:rPr>
        <w:t xml:space="preserve">given </w:t>
      </w:r>
      <w:r w:rsidR="0084350D">
        <w:rPr>
          <w:rFonts w:ascii="Verdana" w:hAnsi="Verdana" w:cstheme="minorHAnsi"/>
          <w:sz w:val="24"/>
          <w:szCs w:val="24"/>
        </w:rPr>
        <w:t xml:space="preserve">Ireland </w:t>
      </w:r>
      <w:r w:rsidR="00CC4449">
        <w:rPr>
          <w:rFonts w:ascii="Verdana" w:hAnsi="Verdana" w:cstheme="minorHAnsi"/>
          <w:sz w:val="24"/>
          <w:szCs w:val="24"/>
        </w:rPr>
        <w:t xml:space="preserve">is </w:t>
      </w:r>
      <w:r w:rsidR="00827B3B">
        <w:rPr>
          <w:rFonts w:ascii="Verdana" w:hAnsi="Verdana" w:cstheme="minorHAnsi"/>
          <w:sz w:val="24"/>
          <w:szCs w:val="24"/>
        </w:rPr>
        <w:t>falling</w:t>
      </w:r>
      <w:r w:rsidR="0084350D">
        <w:rPr>
          <w:rFonts w:ascii="Verdana" w:hAnsi="Verdana" w:cstheme="minorHAnsi"/>
          <w:sz w:val="24"/>
          <w:szCs w:val="24"/>
        </w:rPr>
        <w:t xml:space="preserve"> so</w:t>
      </w:r>
      <w:r w:rsidR="00827B3B">
        <w:rPr>
          <w:rFonts w:ascii="Verdana" w:hAnsi="Verdana" w:cstheme="minorHAnsi"/>
          <w:sz w:val="24"/>
          <w:szCs w:val="24"/>
        </w:rPr>
        <w:t xml:space="preserve"> </w:t>
      </w:r>
      <w:r w:rsidR="0058459F">
        <w:rPr>
          <w:rFonts w:ascii="Verdana" w:hAnsi="Verdana" w:cstheme="minorHAnsi"/>
          <w:sz w:val="24"/>
          <w:szCs w:val="24"/>
        </w:rPr>
        <w:t xml:space="preserve">far </w:t>
      </w:r>
      <w:r w:rsidR="00827B3B">
        <w:rPr>
          <w:rFonts w:ascii="Verdana" w:hAnsi="Verdana" w:cstheme="minorHAnsi"/>
          <w:sz w:val="24"/>
          <w:szCs w:val="24"/>
        </w:rPr>
        <w:t xml:space="preserve">behind on the poverty reduction targets </w:t>
      </w:r>
      <w:r w:rsidR="0058459F">
        <w:rPr>
          <w:rFonts w:ascii="Verdana" w:hAnsi="Verdana" w:cstheme="minorHAnsi"/>
          <w:sz w:val="24"/>
          <w:szCs w:val="24"/>
        </w:rPr>
        <w:t>the Department</w:t>
      </w:r>
      <w:r w:rsidR="00827B3B">
        <w:rPr>
          <w:rFonts w:ascii="Verdana" w:hAnsi="Verdana" w:cstheme="minorHAnsi"/>
          <w:sz w:val="24"/>
          <w:szCs w:val="24"/>
        </w:rPr>
        <w:t xml:space="preserve"> committed to in the Roadmap for Social Inclusion.</w:t>
      </w:r>
      <w:r w:rsidR="000D2185">
        <w:rPr>
          <w:rFonts w:ascii="Verdana" w:hAnsi="Verdana" w:cstheme="minorHAnsi"/>
          <w:sz w:val="24"/>
          <w:szCs w:val="24"/>
        </w:rPr>
        <w:t xml:space="preserve"> </w:t>
      </w:r>
    </w:p>
    <w:p w14:paraId="54A48256" w14:textId="77777777" w:rsidR="001551B0" w:rsidRDefault="00CD74EF" w:rsidP="00F91C3F">
      <w:pPr>
        <w:rPr>
          <w:rFonts w:ascii="Verdana" w:hAnsi="Verdana"/>
          <w:sz w:val="24"/>
          <w:szCs w:val="24"/>
        </w:rPr>
      </w:pPr>
      <w:r w:rsidRPr="00C40192">
        <w:rPr>
          <w:rFonts w:ascii="Verdana" w:hAnsi="Verdana" w:cstheme="minorHAnsi"/>
          <w:sz w:val="24"/>
          <w:szCs w:val="24"/>
        </w:rPr>
        <w:lastRenderedPageBreak/>
        <w:t xml:space="preserve">Disability organisations have called for </w:t>
      </w:r>
      <w:r w:rsidR="00ED0CCB">
        <w:rPr>
          <w:rFonts w:ascii="Verdana" w:hAnsi="Verdana" w:cstheme="minorHAnsi"/>
          <w:sz w:val="24"/>
          <w:szCs w:val="24"/>
        </w:rPr>
        <w:t>a</w:t>
      </w:r>
      <w:r w:rsidRPr="00C40192">
        <w:rPr>
          <w:rFonts w:ascii="Verdana" w:hAnsi="Verdana" w:cstheme="minorHAnsi"/>
          <w:sz w:val="24"/>
          <w:szCs w:val="24"/>
        </w:rPr>
        <w:t xml:space="preserve"> Cost of Disability payment</w:t>
      </w:r>
      <w:r w:rsidR="00ED0CCB">
        <w:rPr>
          <w:rFonts w:ascii="Verdana" w:hAnsi="Verdana" w:cstheme="minorHAnsi"/>
          <w:sz w:val="24"/>
          <w:szCs w:val="24"/>
        </w:rPr>
        <w:t xml:space="preserve"> for </w:t>
      </w:r>
      <w:r w:rsidR="003E0B78">
        <w:rPr>
          <w:rFonts w:ascii="Verdana" w:hAnsi="Verdana" w:cstheme="minorHAnsi"/>
          <w:sz w:val="24"/>
          <w:szCs w:val="24"/>
        </w:rPr>
        <w:t xml:space="preserve">the past two </w:t>
      </w:r>
      <w:r w:rsidR="00385184">
        <w:rPr>
          <w:rFonts w:ascii="Verdana" w:hAnsi="Verdana" w:cstheme="minorHAnsi"/>
          <w:sz w:val="24"/>
          <w:szCs w:val="24"/>
        </w:rPr>
        <w:t>decades</w:t>
      </w:r>
      <w:r w:rsidR="00831373">
        <w:rPr>
          <w:rFonts w:ascii="Verdana" w:hAnsi="Verdana" w:cstheme="minorHAnsi"/>
          <w:sz w:val="24"/>
          <w:szCs w:val="24"/>
        </w:rPr>
        <w:t>, and the discussion prompted by the Green Paper further emphasised this</w:t>
      </w:r>
      <w:r w:rsidR="003E0B78">
        <w:rPr>
          <w:rFonts w:ascii="Verdana" w:hAnsi="Verdana" w:cstheme="minorHAnsi"/>
          <w:sz w:val="24"/>
          <w:szCs w:val="24"/>
        </w:rPr>
        <w:t xml:space="preserve">. </w:t>
      </w:r>
      <w:r w:rsidR="00B63B4E" w:rsidRPr="00F971EA">
        <w:rPr>
          <w:rFonts w:ascii="Verdana" w:hAnsi="Verdana" w:cstheme="minorHAnsi"/>
          <w:b/>
          <w:bCs/>
          <w:sz w:val="24"/>
          <w:szCs w:val="24"/>
        </w:rPr>
        <w:t>A</w:t>
      </w:r>
      <w:r w:rsidR="003E0B78" w:rsidRPr="00F971EA">
        <w:rPr>
          <w:rFonts w:ascii="Verdana" w:hAnsi="Verdana" w:cstheme="minorHAnsi"/>
          <w:b/>
          <w:bCs/>
          <w:sz w:val="24"/>
          <w:szCs w:val="24"/>
        </w:rPr>
        <w:t xml:space="preserve"> </w:t>
      </w:r>
      <w:r w:rsidR="00705FB8" w:rsidRPr="00F971EA">
        <w:rPr>
          <w:rFonts w:ascii="Verdana" w:hAnsi="Verdana" w:cstheme="minorHAnsi"/>
          <w:b/>
          <w:bCs/>
          <w:sz w:val="24"/>
          <w:szCs w:val="24"/>
        </w:rPr>
        <w:t xml:space="preserve">weekly </w:t>
      </w:r>
      <w:r w:rsidR="00BB2967" w:rsidRPr="00F971EA">
        <w:rPr>
          <w:rFonts w:ascii="Verdana" w:hAnsi="Verdana" w:cstheme="minorHAnsi"/>
          <w:b/>
          <w:bCs/>
          <w:sz w:val="24"/>
          <w:szCs w:val="24"/>
        </w:rPr>
        <w:t>C</w:t>
      </w:r>
      <w:r w:rsidR="00705FB8" w:rsidRPr="00F971EA">
        <w:rPr>
          <w:rFonts w:ascii="Verdana" w:hAnsi="Verdana" w:cstheme="minorHAnsi"/>
          <w:b/>
          <w:bCs/>
          <w:sz w:val="24"/>
          <w:szCs w:val="24"/>
        </w:rPr>
        <w:t xml:space="preserve">ost of </w:t>
      </w:r>
      <w:r w:rsidR="00BB2967" w:rsidRPr="00F971EA">
        <w:rPr>
          <w:rFonts w:ascii="Verdana" w:hAnsi="Verdana" w:cstheme="minorHAnsi"/>
          <w:b/>
          <w:bCs/>
          <w:sz w:val="24"/>
          <w:szCs w:val="24"/>
        </w:rPr>
        <w:t>D</w:t>
      </w:r>
      <w:r w:rsidR="00705FB8" w:rsidRPr="00F971EA">
        <w:rPr>
          <w:rFonts w:ascii="Verdana" w:hAnsi="Verdana" w:cstheme="minorHAnsi"/>
          <w:b/>
          <w:bCs/>
          <w:sz w:val="24"/>
          <w:szCs w:val="24"/>
        </w:rPr>
        <w:t xml:space="preserve">isability payment of </w:t>
      </w:r>
      <w:r w:rsidR="00EB7143" w:rsidRPr="00F971EA">
        <w:rPr>
          <w:rFonts w:ascii="Verdana" w:hAnsi="Verdana" w:cstheme="minorHAnsi"/>
          <w:b/>
          <w:bCs/>
          <w:sz w:val="24"/>
          <w:szCs w:val="24"/>
        </w:rPr>
        <w:t xml:space="preserve">at minimum </w:t>
      </w:r>
      <w:r w:rsidR="003E0B78" w:rsidRPr="00F971EA">
        <w:rPr>
          <w:rFonts w:ascii="Verdana" w:hAnsi="Verdana" w:cstheme="minorHAnsi"/>
          <w:b/>
          <w:bCs/>
          <w:sz w:val="24"/>
          <w:szCs w:val="24"/>
        </w:rPr>
        <w:t>€</w:t>
      </w:r>
      <w:r w:rsidR="00F13E56">
        <w:rPr>
          <w:rFonts w:ascii="Verdana" w:hAnsi="Verdana" w:cstheme="minorHAnsi"/>
          <w:b/>
          <w:bCs/>
          <w:sz w:val="24"/>
          <w:szCs w:val="24"/>
        </w:rPr>
        <w:t>5</w:t>
      </w:r>
      <w:r w:rsidR="003E0B78" w:rsidRPr="00F971EA">
        <w:rPr>
          <w:rFonts w:ascii="Verdana" w:hAnsi="Verdana" w:cstheme="minorHAnsi"/>
          <w:b/>
          <w:bCs/>
          <w:sz w:val="24"/>
          <w:szCs w:val="24"/>
        </w:rPr>
        <w:t>0</w:t>
      </w:r>
      <w:r w:rsidR="00B63B4E" w:rsidRPr="00F971EA">
        <w:rPr>
          <w:rFonts w:ascii="Verdana" w:hAnsi="Verdana" w:cstheme="minorHAnsi"/>
          <w:b/>
          <w:bCs/>
          <w:sz w:val="24"/>
          <w:szCs w:val="24"/>
        </w:rPr>
        <w:t xml:space="preserve"> is </w:t>
      </w:r>
      <w:r w:rsidR="005E2B2E" w:rsidRPr="00F971EA">
        <w:rPr>
          <w:rFonts w:ascii="Verdana" w:hAnsi="Verdana" w:cstheme="minorHAnsi"/>
          <w:b/>
          <w:bCs/>
          <w:sz w:val="24"/>
          <w:szCs w:val="24"/>
        </w:rPr>
        <w:t>essential</w:t>
      </w:r>
      <w:r w:rsidR="00EB7143" w:rsidRPr="00F971EA">
        <w:rPr>
          <w:rFonts w:ascii="Verdana" w:hAnsi="Verdana" w:cstheme="minorHAnsi"/>
          <w:b/>
          <w:bCs/>
          <w:sz w:val="24"/>
          <w:szCs w:val="24"/>
        </w:rPr>
        <w:t xml:space="preserve"> </w:t>
      </w:r>
      <w:r w:rsidR="00B63B4E" w:rsidRPr="00F971EA">
        <w:rPr>
          <w:rFonts w:ascii="Verdana" w:hAnsi="Verdana" w:cstheme="minorHAnsi"/>
          <w:b/>
          <w:bCs/>
          <w:sz w:val="24"/>
          <w:szCs w:val="24"/>
        </w:rPr>
        <w:t>to start to</w:t>
      </w:r>
      <w:r w:rsidRPr="00F971EA">
        <w:rPr>
          <w:rFonts w:ascii="Verdana" w:hAnsi="Verdana" w:cstheme="minorHAnsi"/>
          <w:b/>
          <w:bCs/>
          <w:sz w:val="24"/>
          <w:szCs w:val="24"/>
        </w:rPr>
        <w:t xml:space="preserve"> </w:t>
      </w:r>
      <w:r w:rsidR="00B63B4E" w:rsidRPr="00F971EA">
        <w:rPr>
          <w:rFonts w:ascii="Verdana" w:hAnsi="Verdana" w:cstheme="minorHAnsi"/>
          <w:b/>
          <w:bCs/>
          <w:sz w:val="24"/>
          <w:szCs w:val="24"/>
        </w:rPr>
        <w:t>a</w:t>
      </w:r>
      <w:r w:rsidR="00744CFA" w:rsidRPr="00F971EA">
        <w:rPr>
          <w:rFonts w:ascii="Verdana" w:hAnsi="Verdana" w:cstheme="minorHAnsi"/>
          <w:b/>
          <w:bCs/>
          <w:sz w:val="24"/>
          <w:szCs w:val="24"/>
        </w:rPr>
        <w:t>d</w:t>
      </w:r>
      <w:r w:rsidR="00B63B4E" w:rsidRPr="00F971EA">
        <w:rPr>
          <w:rFonts w:ascii="Verdana" w:hAnsi="Verdana" w:cstheme="minorHAnsi"/>
          <w:b/>
          <w:bCs/>
          <w:sz w:val="24"/>
          <w:szCs w:val="24"/>
        </w:rPr>
        <w:t>dress</w:t>
      </w:r>
      <w:r w:rsidRPr="00F971EA">
        <w:rPr>
          <w:rFonts w:ascii="Verdana" w:hAnsi="Verdana" w:cstheme="minorHAnsi"/>
          <w:b/>
          <w:bCs/>
          <w:sz w:val="24"/>
          <w:szCs w:val="24"/>
        </w:rPr>
        <w:t xml:space="preserve"> these extra costs</w:t>
      </w:r>
      <w:r w:rsidR="005E2B2E" w:rsidRPr="00F971EA">
        <w:rPr>
          <w:rFonts w:ascii="Verdana" w:hAnsi="Verdana" w:cstheme="minorHAnsi"/>
          <w:b/>
          <w:bCs/>
          <w:sz w:val="24"/>
          <w:szCs w:val="24"/>
        </w:rPr>
        <w:t xml:space="preserve"> and bring down poverty rates</w:t>
      </w:r>
      <w:r w:rsidR="00F91C3F" w:rsidRPr="00F971EA">
        <w:rPr>
          <w:rFonts w:ascii="Verdana" w:hAnsi="Verdana"/>
          <w:b/>
          <w:bCs/>
          <w:sz w:val="24"/>
          <w:szCs w:val="24"/>
        </w:rPr>
        <w:t>.</w:t>
      </w:r>
      <w:r w:rsidR="00F91C3F" w:rsidRPr="006D1E6F">
        <w:rPr>
          <w:rFonts w:ascii="Verdana" w:hAnsi="Verdana"/>
          <w:sz w:val="24"/>
          <w:szCs w:val="24"/>
        </w:rPr>
        <w:t xml:space="preserve"> </w:t>
      </w:r>
    </w:p>
    <w:p w14:paraId="7037F992" w14:textId="27E887E2" w:rsidR="003E4CFD" w:rsidRPr="001551B0" w:rsidRDefault="00594164" w:rsidP="00F91C3F">
      <w:pPr>
        <w:rPr>
          <w:rFonts w:ascii="Verdana" w:hAnsi="Verdana"/>
          <w:sz w:val="24"/>
          <w:szCs w:val="24"/>
        </w:rPr>
      </w:pPr>
      <w:r>
        <w:rPr>
          <w:rFonts w:ascii="Verdana" w:hAnsi="Verdana"/>
          <w:sz w:val="24"/>
          <w:szCs w:val="24"/>
        </w:rPr>
        <w:t>T</w:t>
      </w:r>
      <w:r w:rsidR="00F91C3F" w:rsidRPr="006D1E6F">
        <w:rPr>
          <w:rFonts w:ascii="Verdana" w:hAnsi="Verdana"/>
          <w:sz w:val="24"/>
          <w:szCs w:val="24"/>
        </w:rPr>
        <w:t>his would</w:t>
      </w:r>
      <w:r>
        <w:rPr>
          <w:rFonts w:ascii="Verdana" w:hAnsi="Verdana"/>
          <w:sz w:val="24"/>
          <w:szCs w:val="24"/>
        </w:rPr>
        <w:t xml:space="preserve"> clearly</w:t>
      </w:r>
      <w:r w:rsidR="00F91C3F" w:rsidRPr="006D1E6F">
        <w:rPr>
          <w:rFonts w:ascii="Verdana" w:hAnsi="Verdana"/>
          <w:sz w:val="24"/>
          <w:szCs w:val="24"/>
        </w:rPr>
        <w:t xml:space="preserve"> </w:t>
      </w:r>
      <w:r w:rsidR="00DB07BA">
        <w:rPr>
          <w:rFonts w:ascii="Verdana" w:hAnsi="Verdana"/>
          <w:sz w:val="24"/>
          <w:szCs w:val="24"/>
        </w:rPr>
        <w:t xml:space="preserve">not address </w:t>
      </w:r>
      <w:r w:rsidR="003B030C">
        <w:rPr>
          <w:rFonts w:ascii="Verdana" w:hAnsi="Verdana"/>
          <w:sz w:val="24"/>
          <w:szCs w:val="24"/>
        </w:rPr>
        <w:t xml:space="preserve">all the </w:t>
      </w:r>
      <w:r w:rsidR="00BB2967">
        <w:rPr>
          <w:rFonts w:ascii="Verdana" w:hAnsi="Verdana"/>
          <w:sz w:val="24"/>
          <w:szCs w:val="24"/>
        </w:rPr>
        <w:t>extra costs</w:t>
      </w:r>
      <w:r w:rsidR="00DB07BA">
        <w:rPr>
          <w:rFonts w:ascii="Verdana" w:hAnsi="Verdana"/>
          <w:sz w:val="24"/>
          <w:szCs w:val="24"/>
        </w:rPr>
        <w:t xml:space="preserve"> established by </w:t>
      </w:r>
      <w:proofErr w:type="spellStart"/>
      <w:r w:rsidR="001A2501">
        <w:rPr>
          <w:rFonts w:ascii="Verdana" w:hAnsi="Verdana"/>
          <w:sz w:val="24"/>
          <w:szCs w:val="24"/>
        </w:rPr>
        <w:t>I</w:t>
      </w:r>
      <w:r w:rsidR="00CE7303">
        <w:rPr>
          <w:rFonts w:ascii="Verdana" w:hAnsi="Verdana"/>
          <w:sz w:val="24"/>
          <w:szCs w:val="24"/>
        </w:rPr>
        <w:t>n</w:t>
      </w:r>
      <w:r w:rsidR="00E505CC">
        <w:rPr>
          <w:rFonts w:ascii="Verdana" w:hAnsi="Verdana"/>
          <w:sz w:val="24"/>
          <w:szCs w:val="24"/>
        </w:rPr>
        <w:t>decon</w:t>
      </w:r>
      <w:proofErr w:type="spellEnd"/>
      <w:r w:rsidR="001A2501">
        <w:rPr>
          <w:rFonts w:ascii="Verdana" w:hAnsi="Verdana"/>
          <w:sz w:val="24"/>
          <w:szCs w:val="24"/>
        </w:rPr>
        <w:t xml:space="preserve"> </w:t>
      </w:r>
      <w:r w:rsidR="00DC6FC9">
        <w:rPr>
          <w:rFonts w:ascii="Verdana" w:hAnsi="Verdana"/>
          <w:sz w:val="24"/>
          <w:szCs w:val="24"/>
        </w:rPr>
        <w:t>however</w:t>
      </w:r>
      <w:r w:rsidR="00DC6FC9" w:rsidRPr="008C1FFF">
        <w:rPr>
          <w:rFonts w:ascii="Verdana" w:hAnsi="Verdana"/>
          <w:sz w:val="24"/>
          <w:szCs w:val="24"/>
        </w:rPr>
        <w:t xml:space="preserve"> and</w:t>
      </w:r>
      <w:r w:rsidR="003E4CFD">
        <w:rPr>
          <w:rFonts w:ascii="Verdana" w:hAnsi="Verdana"/>
          <w:sz w:val="24"/>
          <w:szCs w:val="24"/>
        </w:rPr>
        <w:t xml:space="preserve"> would</w:t>
      </w:r>
      <w:r w:rsidR="005E2B2E">
        <w:rPr>
          <w:rFonts w:ascii="Verdana" w:hAnsi="Verdana"/>
          <w:sz w:val="24"/>
          <w:szCs w:val="24"/>
        </w:rPr>
        <w:t xml:space="preserve"> thus</w:t>
      </w:r>
      <w:r w:rsidR="003E4CFD">
        <w:rPr>
          <w:rFonts w:ascii="Verdana" w:hAnsi="Verdana"/>
          <w:sz w:val="24"/>
          <w:szCs w:val="24"/>
        </w:rPr>
        <w:t xml:space="preserve"> need to be supplemented by action from other Departments to improve services and supports</w:t>
      </w:r>
      <w:r w:rsidR="00F91C3F" w:rsidRPr="006D1E6F">
        <w:rPr>
          <w:rFonts w:ascii="Verdana" w:hAnsi="Verdana"/>
          <w:sz w:val="24"/>
          <w:szCs w:val="24"/>
        </w:rPr>
        <w:t>.</w:t>
      </w:r>
      <w:r w:rsidR="00080D04">
        <w:rPr>
          <w:rFonts w:ascii="Verdana" w:hAnsi="Verdana" w:cstheme="minorHAnsi"/>
          <w:sz w:val="24"/>
          <w:szCs w:val="24"/>
        </w:rPr>
        <w:t xml:space="preserve"> </w:t>
      </w:r>
      <w:r w:rsidR="005E2B2E">
        <w:rPr>
          <w:rFonts w:ascii="Verdana" w:hAnsi="Verdana" w:cstheme="minorHAnsi"/>
          <w:sz w:val="24"/>
          <w:szCs w:val="24"/>
        </w:rPr>
        <w:t>DFI</w:t>
      </w:r>
      <w:r w:rsidR="0053420A">
        <w:rPr>
          <w:rFonts w:ascii="Verdana" w:hAnsi="Verdana" w:cstheme="minorHAnsi"/>
          <w:sz w:val="24"/>
          <w:szCs w:val="24"/>
        </w:rPr>
        <w:t>, along with other disability organisations, continues to call for a</w:t>
      </w:r>
      <w:r w:rsidR="003B030C">
        <w:rPr>
          <w:rFonts w:ascii="Verdana" w:hAnsi="Verdana" w:cstheme="minorHAnsi"/>
          <w:sz w:val="24"/>
          <w:szCs w:val="24"/>
        </w:rPr>
        <w:t xml:space="preserve">n </w:t>
      </w:r>
      <w:r w:rsidR="0053420A">
        <w:rPr>
          <w:rFonts w:ascii="Verdana" w:hAnsi="Verdana" w:cstheme="minorHAnsi"/>
          <w:sz w:val="24"/>
          <w:szCs w:val="24"/>
        </w:rPr>
        <w:t>Action Plan to fully address Cost of Disability over the next three years</w:t>
      </w:r>
      <w:r w:rsidR="00BE3183">
        <w:rPr>
          <w:rFonts w:ascii="Verdana" w:hAnsi="Verdana" w:cstheme="minorHAnsi"/>
          <w:sz w:val="24"/>
          <w:szCs w:val="24"/>
        </w:rPr>
        <w:t xml:space="preserve"> – this can be integrated </w:t>
      </w:r>
      <w:r w:rsidR="00BE3183">
        <w:rPr>
          <w:rFonts w:ascii="Verdana" w:hAnsi="Verdana"/>
          <w:sz w:val="24"/>
          <w:szCs w:val="24"/>
        </w:rPr>
        <w:t>into the ongoing development of the new National Disability Strategy</w:t>
      </w:r>
      <w:r w:rsidR="00BE3183" w:rsidRPr="000A78EE">
        <w:rPr>
          <w:rFonts w:ascii="Verdana" w:hAnsi="Verdana"/>
          <w:sz w:val="24"/>
          <w:szCs w:val="24"/>
        </w:rPr>
        <w:t>.</w:t>
      </w:r>
    </w:p>
    <w:p w14:paraId="00F868F6" w14:textId="77777777" w:rsidR="008219E0" w:rsidRDefault="00E10AD2" w:rsidP="00566FE8">
      <w:pPr>
        <w:rPr>
          <w:rFonts w:ascii="Verdana" w:hAnsi="Verdana"/>
          <w:sz w:val="24"/>
          <w:szCs w:val="24"/>
        </w:rPr>
      </w:pPr>
      <w:r>
        <w:rPr>
          <w:rFonts w:ascii="Verdana" w:hAnsi="Verdana"/>
          <w:sz w:val="24"/>
          <w:szCs w:val="24"/>
        </w:rPr>
        <w:t>Our</w:t>
      </w:r>
      <w:r w:rsidR="00F91C3F">
        <w:rPr>
          <w:rFonts w:ascii="Verdana" w:hAnsi="Verdana"/>
          <w:sz w:val="24"/>
          <w:szCs w:val="24"/>
        </w:rPr>
        <w:t xml:space="preserve"> longstanding call</w:t>
      </w:r>
      <w:r>
        <w:rPr>
          <w:rFonts w:ascii="Verdana" w:hAnsi="Verdana"/>
          <w:sz w:val="24"/>
          <w:szCs w:val="24"/>
        </w:rPr>
        <w:t xml:space="preserve"> for a Cost of Disability payment</w:t>
      </w:r>
      <w:r w:rsidR="00F91C3F">
        <w:rPr>
          <w:rFonts w:ascii="Verdana" w:hAnsi="Verdana"/>
          <w:sz w:val="24"/>
          <w:szCs w:val="24"/>
        </w:rPr>
        <w:t xml:space="preserve"> is </w:t>
      </w:r>
      <w:r>
        <w:rPr>
          <w:rFonts w:ascii="Verdana" w:hAnsi="Verdana"/>
          <w:sz w:val="24"/>
          <w:szCs w:val="24"/>
        </w:rPr>
        <w:t>supported by a range of civil society and anti</w:t>
      </w:r>
      <w:r w:rsidR="00873A97">
        <w:rPr>
          <w:rFonts w:ascii="Verdana" w:hAnsi="Verdana"/>
          <w:sz w:val="24"/>
          <w:szCs w:val="24"/>
        </w:rPr>
        <w:t>-</w:t>
      </w:r>
      <w:r>
        <w:rPr>
          <w:rFonts w:ascii="Verdana" w:hAnsi="Verdana"/>
          <w:sz w:val="24"/>
          <w:szCs w:val="24"/>
        </w:rPr>
        <w:t>poverty organisations</w:t>
      </w:r>
      <w:r w:rsidR="00EA1020" w:rsidRPr="00EA1020">
        <w:rPr>
          <w:rFonts w:ascii="Verdana" w:hAnsi="Verdana"/>
          <w:sz w:val="24"/>
          <w:szCs w:val="24"/>
        </w:rPr>
        <w:t>.</w:t>
      </w:r>
      <w:r w:rsidR="00BB031F">
        <w:rPr>
          <w:rStyle w:val="FootnoteReference"/>
          <w:rFonts w:ascii="Verdana" w:hAnsi="Verdana"/>
          <w:sz w:val="24"/>
          <w:szCs w:val="24"/>
        </w:rPr>
        <w:footnoteReference w:id="28"/>
      </w:r>
      <w:r w:rsidR="00F91C3F">
        <w:rPr>
          <w:rFonts w:ascii="Verdana" w:hAnsi="Verdana"/>
          <w:sz w:val="24"/>
          <w:szCs w:val="24"/>
        </w:rPr>
        <w:t xml:space="preserve"> </w:t>
      </w:r>
      <w:r w:rsidR="00CB1E4E">
        <w:rPr>
          <w:rFonts w:ascii="Verdana" w:hAnsi="Verdana"/>
          <w:sz w:val="24"/>
          <w:szCs w:val="24"/>
        </w:rPr>
        <w:t>N</w:t>
      </w:r>
      <w:r w:rsidR="007914B0">
        <w:rPr>
          <w:rFonts w:ascii="Verdana" w:hAnsi="Verdana"/>
          <w:sz w:val="24"/>
          <w:szCs w:val="24"/>
        </w:rPr>
        <w:t>um</w:t>
      </w:r>
      <w:r w:rsidR="00CB1E4E">
        <w:rPr>
          <w:rFonts w:ascii="Verdana" w:hAnsi="Verdana"/>
          <w:sz w:val="24"/>
          <w:szCs w:val="24"/>
        </w:rPr>
        <w:t>erous</w:t>
      </w:r>
      <w:r w:rsidR="007914B0">
        <w:rPr>
          <w:rFonts w:ascii="Verdana" w:hAnsi="Verdana"/>
          <w:sz w:val="24"/>
          <w:szCs w:val="24"/>
        </w:rPr>
        <w:t xml:space="preserve"> Oireachtas committees</w:t>
      </w:r>
      <w:r w:rsidR="00CB1E4E">
        <w:rPr>
          <w:rFonts w:ascii="Verdana" w:hAnsi="Verdana"/>
          <w:sz w:val="24"/>
          <w:szCs w:val="24"/>
        </w:rPr>
        <w:t xml:space="preserve"> have </w:t>
      </w:r>
      <w:r w:rsidR="008219E0">
        <w:rPr>
          <w:rFonts w:ascii="Verdana" w:hAnsi="Verdana"/>
          <w:sz w:val="24"/>
          <w:szCs w:val="24"/>
        </w:rPr>
        <w:t xml:space="preserve">also </w:t>
      </w:r>
      <w:r w:rsidR="00CB1E4E">
        <w:rPr>
          <w:rFonts w:ascii="Verdana" w:hAnsi="Verdana"/>
          <w:sz w:val="24"/>
          <w:szCs w:val="24"/>
        </w:rPr>
        <w:t xml:space="preserve">endorsed a Cost of Disability payment, and two </w:t>
      </w:r>
      <w:r w:rsidR="00837057">
        <w:rPr>
          <w:rFonts w:ascii="Verdana" w:hAnsi="Verdana"/>
          <w:sz w:val="24"/>
          <w:szCs w:val="24"/>
        </w:rPr>
        <w:t xml:space="preserve">unanimously passed Dáil </w:t>
      </w:r>
      <w:r w:rsidR="00CB1E4E">
        <w:rPr>
          <w:rFonts w:ascii="Verdana" w:hAnsi="Verdana"/>
          <w:sz w:val="24"/>
          <w:szCs w:val="24"/>
        </w:rPr>
        <w:t>motions in the past</w:t>
      </w:r>
      <w:r w:rsidR="006D1EB1">
        <w:rPr>
          <w:rFonts w:ascii="Verdana" w:hAnsi="Verdana"/>
          <w:sz w:val="24"/>
          <w:szCs w:val="24"/>
        </w:rPr>
        <w:t xml:space="preserve"> two years have called for action to tackle this issue</w:t>
      </w:r>
      <w:r w:rsidR="00E26FF4">
        <w:rPr>
          <w:rFonts w:ascii="Verdana" w:hAnsi="Verdana"/>
          <w:sz w:val="24"/>
          <w:szCs w:val="24"/>
        </w:rPr>
        <w:t>.</w:t>
      </w:r>
      <w:r w:rsidR="007221B2" w:rsidRPr="00674E2A">
        <w:rPr>
          <w:rFonts w:ascii="Verdana" w:hAnsi="Verdana"/>
          <w:sz w:val="24"/>
          <w:szCs w:val="24"/>
          <w:vertAlign w:val="superscript"/>
        </w:rPr>
        <w:footnoteReference w:id="29"/>
      </w:r>
      <w:r w:rsidR="000A5081" w:rsidRPr="008E006B">
        <w:rPr>
          <w:rFonts w:ascii="Verdana" w:hAnsi="Verdana"/>
          <w:sz w:val="24"/>
          <w:szCs w:val="24"/>
        </w:rPr>
        <w:t xml:space="preserve"> </w:t>
      </w:r>
      <w:r w:rsidR="00541282">
        <w:rPr>
          <w:rFonts w:ascii="Verdana" w:hAnsi="Verdana"/>
          <w:sz w:val="24"/>
          <w:szCs w:val="24"/>
        </w:rPr>
        <w:t>It is thus clear that</w:t>
      </w:r>
      <w:r w:rsidR="0029617D">
        <w:rPr>
          <w:rFonts w:ascii="Verdana" w:hAnsi="Verdana"/>
          <w:sz w:val="24"/>
          <w:szCs w:val="24"/>
        </w:rPr>
        <w:t xml:space="preserve"> </w:t>
      </w:r>
      <w:r w:rsidR="0029617D" w:rsidRPr="008E1A9A">
        <w:rPr>
          <w:rFonts w:ascii="Verdana" w:hAnsi="Verdana"/>
          <w:b/>
          <w:bCs/>
          <w:sz w:val="24"/>
          <w:szCs w:val="24"/>
        </w:rPr>
        <w:t xml:space="preserve">there is </w:t>
      </w:r>
      <w:r w:rsidR="007532B8" w:rsidRPr="008E1A9A">
        <w:rPr>
          <w:rFonts w:ascii="Verdana" w:hAnsi="Verdana"/>
          <w:b/>
          <w:bCs/>
          <w:sz w:val="24"/>
          <w:szCs w:val="24"/>
        </w:rPr>
        <w:t>broad social and political support to take meaningful action to</w:t>
      </w:r>
      <w:r w:rsidR="00E97044" w:rsidRPr="008E1A9A">
        <w:rPr>
          <w:rFonts w:ascii="Verdana" w:hAnsi="Verdana"/>
          <w:b/>
          <w:bCs/>
          <w:sz w:val="24"/>
          <w:szCs w:val="24"/>
        </w:rPr>
        <w:t xml:space="preserve"> </w:t>
      </w:r>
      <w:r w:rsidR="00284148" w:rsidRPr="008E1A9A">
        <w:rPr>
          <w:rFonts w:ascii="Verdana" w:hAnsi="Verdana"/>
          <w:b/>
          <w:bCs/>
          <w:sz w:val="24"/>
          <w:szCs w:val="24"/>
        </w:rPr>
        <w:t>address</w:t>
      </w:r>
      <w:r w:rsidR="000F5792" w:rsidRPr="008E1A9A">
        <w:rPr>
          <w:rFonts w:ascii="Verdana" w:hAnsi="Verdana"/>
          <w:b/>
          <w:bCs/>
          <w:sz w:val="24"/>
          <w:szCs w:val="24"/>
        </w:rPr>
        <w:t xml:space="preserve"> </w:t>
      </w:r>
      <w:r w:rsidR="001035BB" w:rsidRPr="008E1A9A">
        <w:rPr>
          <w:rFonts w:ascii="Verdana" w:hAnsi="Verdana"/>
          <w:b/>
          <w:bCs/>
          <w:sz w:val="24"/>
          <w:szCs w:val="24"/>
        </w:rPr>
        <w:t>C</w:t>
      </w:r>
      <w:r w:rsidR="000F5792" w:rsidRPr="008E1A9A">
        <w:rPr>
          <w:rFonts w:ascii="Verdana" w:hAnsi="Verdana"/>
          <w:b/>
          <w:bCs/>
          <w:sz w:val="24"/>
          <w:szCs w:val="24"/>
        </w:rPr>
        <w:t xml:space="preserve">ost of </w:t>
      </w:r>
      <w:r w:rsidR="001035BB" w:rsidRPr="008E1A9A">
        <w:rPr>
          <w:rFonts w:ascii="Verdana" w:hAnsi="Verdana"/>
          <w:b/>
          <w:bCs/>
          <w:sz w:val="24"/>
          <w:szCs w:val="24"/>
        </w:rPr>
        <w:t>D</w:t>
      </w:r>
      <w:r w:rsidR="000F5792" w:rsidRPr="008E1A9A">
        <w:rPr>
          <w:rFonts w:ascii="Verdana" w:hAnsi="Verdana"/>
          <w:b/>
          <w:bCs/>
          <w:sz w:val="24"/>
          <w:szCs w:val="24"/>
        </w:rPr>
        <w:t>isability in Budget 202</w:t>
      </w:r>
      <w:r w:rsidR="003F4DB9">
        <w:rPr>
          <w:rFonts w:ascii="Verdana" w:hAnsi="Verdana"/>
          <w:b/>
          <w:bCs/>
          <w:sz w:val="24"/>
          <w:szCs w:val="24"/>
        </w:rPr>
        <w:t>5</w:t>
      </w:r>
      <w:r w:rsidR="000F5792" w:rsidRPr="008E006B">
        <w:rPr>
          <w:rFonts w:ascii="Verdana" w:hAnsi="Verdana"/>
          <w:sz w:val="24"/>
          <w:szCs w:val="24"/>
        </w:rPr>
        <w:t xml:space="preserve">. </w:t>
      </w:r>
    </w:p>
    <w:p w14:paraId="72A9DE15" w14:textId="7C977ECA" w:rsidR="00752A90" w:rsidRPr="009312E2" w:rsidRDefault="00A6039C" w:rsidP="00566FE8">
      <w:pPr>
        <w:rPr>
          <w:rFonts w:ascii="Verdana" w:hAnsi="Verdana"/>
          <w:b/>
          <w:bCs/>
          <w:sz w:val="24"/>
          <w:szCs w:val="24"/>
        </w:rPr>
      </w:pPr>
      <w:r>
        <w:rPr>
          <w:rFonts w:ascii="Verdana" w:hAnsi="Verdana" w:cstheme="minorHAnsi"/>
          <w:sz w:val="24"/>
          <w:szCs w:val="24"/>
        </w:rPr>
        <w:t>While</w:t>
      </w:r>
      <w:r w:rsidR="002808F2" w:rsidRPr="003B1ACD">
        <w:rPr>
          <w:rFonts w:ascii="Verdana" w:hAnsi="Verdana" w:cstheme="minorHAnsi"/>
          <w:sz w:val="24"/>
          <w:szCs w:val="24"/>
        </w:rPr>
        <w:t xml:space="preserve"> </w:t>
      </w:r>
      <w:r w:rsidR="002808F2" w:rsidRPr="003B1ACD">
        <w:rPr>
          <w:rFonts w:ascii="Verdana" w:hAnsi="Verdana" w:cstheme="minorHAnsi"/>
          <w:b/>
          <w:bCs/>
          <w:sz w:val="24"/>
          <w:szCs w:val="24"/>
        </w:rPr>
        <w:t>the Disability Support Grant</w:t>
      </w:r>
      <w:r w:rsidR="003B1ACD" w:rsidRPr="003B1ACD">
        <w:rPr>
          <w:rFonts w:ascii="Verdana" w:hAnsi="Verdana" w:cstheme="minorHAnsi"/>
          <w:b/>
          <w:bCs/>
          <w:sz w:val="24"/>
          <w:szCs w:val="24"/>
        </w:rPr>
        <w:t>s</w:t>
      </w:r>
      <w:r w:rsidR="002808F2" w:rsidRPr="003B1ACD">
        <w:rPr>
          <w:rFonts w:ascii="Verdana" w:hAnsi="Verdana" w:cstheme="minorHAnsi"/>
          <w:b/>
          <w:bCs/>
          <w:sz w:val="24"/>
          <w:szCs w:val="24"/>
        </w:rPr>
        <w:t xml:space="preserve"> in </w:t>
      </w:r>
      <w:r w:rsidR="003B1ACD" w:rsidRPr="003B1ACD">
        <w:rPr>
          <w:rFonts w:ascii="Verdana" w:hAnsi="Verdana" w:cstheme="minorHAnsi"/>
          <w:b/>
          <w:bCs/>
          <w:sz w:val="24"/>
          <w:szCs w:val="24"/>
        </w:rPr>
        <w:t>the past two Budgets</w:t>
      </w:r>
      <w:r w:rsidR="002808F2" w:rsidRPr="003B1ACD">
        <w:rPr>
          <w:rFonts w:ascii="Verdana" w:hAnsi="Verdana" w:cstheme="minorHAnsi"/>
          <w:b/>
          <w:bCs/>
          <w:sz w:val="24"/>
          <w:szCs w:val="24"/>
        </w:rPr>
        <w:t xml:space="preserve"> w</w:t>
      </w:r>
      <w:r w:rsidR="003B1ACD" w:rsidRPr="003B1ACD">
        <w:rPr>
          <w:rFonts w:ascii="Verdana" w:hAnsi="Verdana" w:cstheme="minorHAnsi"/>
          <w:b/>
          <w:bCs/>
          <w:sz w:val="24"/>
          <w:szCs w:val="24"/>
        </w:rPr>
        <w:t>ere</w:t>
      </w:r>
      <w:r w:rsidR="002808F2" w:rsidRPr="003B1ACD">
        <w:rPr>
          <w:rFonts w:ascii="Verdana" w:hAnsi="Verdana" w:cstheme="minorHAnsi"/>
          <w:b/>
          <w:bCs/>
          <w:sz w:val="24"/>
          <w:szCs w:val="24"/>
        </w:rPr>
        <w:t xml:space="preserve"> a welcome first acknowledgement of these extra costs</w:t>
      </w:r>
      <w:r>
        <w:rPr>
          <w:rFonts w:ascii="Verdana" w:hAnsi="Verdana" w:cstheme="minorHAnsi"/>
          <w:sz w:val="24"/>
          <w:szCs w:val="24"/>
        </w:rPr>
        <w:t>,</w:t>
      </w:r>
      <w:r w:rsidR="002808F2" w:rsidRPr="003B1ACD">
        <w:rPr>
          <w:rFonts w:ascii="Verdana" w:hAnsi="Verdana" w:cstheme="minorHAnsi"/>
          <w:sz w:val="24"/>
          <w:szCs w:val="24"/>
        </w:rPr>
        <w:t xml:space="preserve"> ongoing, permanent, and sufficient support to mitigate the Cost of Disability is required into the future to avoid perpetual disability poverty. This would also be a worthwhile investment as it could support many disabled people to enter the workforce and/or be more active in their community.</w:t>
      </w:r>
      <w:r w:rsidR="002808F2">
        <w:rPr>
          <w:rFonts w:ascii="Verdana" w:hAnsi="Verdana" w:cstheme="minorHAnsi"/>
          <w:sz w:val="24"/>
          <w:szCs w:val="24"/>
        </w:rPr>
        <w:t xml:space="preserve"> </w:t>
      </w:r>
    </w:p>
    <w:p w14:paraId="68DE7C8F" w14:textId="50AFF2DE" w:rsidR="00566FE8" w:rsidRPr="00F5696B" w:rsidRDefault="00FE630E" w:rsidP="00F5696B">
      <w:pPr>
        <w:pStyle w:val="Heading1"/>
        <w:rPr>
          <w:sz w:val="24"/>
          <w:szCs w:val="24"/>
        </w:rPr>
      </w:pPr>
      <w:bookmarkStart w:id="12" w:name="_Toc171069204"/>
      <w:r w:rsidRPr="00F5696B">
        <w:rPr>
          <w:sz w:val="24"/>
          <w:szCs w:val="24"/>
        </w:rPr>
        <w:t>Inflation</w:t>
      </w:r>
      <w:r w:rsidR="002D20C0" w:rsidRPr="00F5696B">
        <w:rPr>
          <w:sz w:val="24"/>
          <w:szCs w:val="24"/>
        </w:rPr>
        <w:t>,</w:t>
      </w:r>
      <w:r w:rsidRPr="00F5696B">
        <w:rPr>
          <w:sz w:val="24"/>
          <w:szCs w:val="24"/>
        </w:rPr>
        <w:t xml:space="preserve"> </w:t>
      </w:r>
      <w:r w:rsidR="002349B6" w:rsidRPr="00F5696B">
        <w:rPr>
          <w:sz w:val="24"/>
          <w:szCs w:val="24"/>
        </w:rPr>
        <w:t>Income Adequacy</w:t>
      </w:r>
      <w:r w:rsidR="00212B00" w:rsidRPr="00F5696B">
        <w:rPr>
          <w:sz w:val="24"/>
          <w:szCs w:val="24"/>
        </w:rPr>
        <w:t>, Benchmarking and Indexation</w:t>
      </w:r>
      <w:bookmarkEnd w:id="12"/>
      <w:r w:rsidR="002D20C0" w:rsidRPr="00F5696B">
        <w:rPr>
          <w:sz w:val="24"/>
          <w:szCs w:val="24"/>
        </w:rPr>
        <w:t xml:space="preserve"> </w:t>
      </w:r>
    </w:p>
    <w:p w14:paraId="2886451F" w14:textId="49856F72" w:rsidR="00F71407" w:rsidRDefault="00F5014A" w:rsidP="00566FE8">
      <w:pPr>
        <w:rPr>
          <w:rFonts w:ascii="Verdana" w:hAnsi="Verdana"/>
          <w:sz w:val="24"/>
          <w:szCs w:val="24"/>
        </w:rPr>
      </w:pPr>
      <w:r w:rsidRPr="00F5014A">
        <w:rPr>
          <w:rFonts w:ascii="Verdana" w:hAnsi="Verdana"/>
          <w:sz w:val="24"/>
          <w:szCs w:val="24"/>
        </w:rPr>
        <w:t>Recent years</w:t>
      </w:r>
      <w:r w:rsidR="00F71407" w:rsidRPr="00F5014A">
        <w:rPr>
          <w:rFonts w:ascii="Verdana" w:hAnsi="Verdana"/>
          <w:sz w:val="24"/>
          <w:szCs w:val="24"/>
        </w:rPr>
        <w:t xml:space="preserve"> have seen inflation </w:t>
      </w:r>
      <w:r w:rsidR="00BF2D4A" w:rsidRPr="00F5014A">
        <w:rPr>
          <w:rFonts w:ascii="Verdana" w:hAnsi="Verdana"/>
          <w:sz w:val="24"/>
          <w:szCs w:val="24"/>
        </w:rPr>
        <w:t xml:space="preserve">running </w:t>
      </w:r>
      <w:r w:rsidR="00F71407" w:rsidRPr="00F5014A">
        <w:rPr>
          <w:rFonts w:ascii="Verdana" w:hAnsi="Verdana"/>
          <w:sz w:val="24"/>
          <w:szCs w:val="24"/>
        </w:rPr>
        <w:t xml:space="preserve">at levels not seen </w:t>
      </w:r>
      <w:r w:rsidR="00BF2D4A" w:rsidRPr="00F5014A">
        <w:rPr>
          <w:rFonts w:ascii="Verdana" w:hAnsi="Verdana"/>
          <w:sz w:val="24"/>
          <w:szCs w:val="24"/>
        </w:rPr>
        <w:t>in</w:t>
      </w:r>
      <w:r w:rsidR="00F71407" w:rsidRPr="00F5014A">
        <w:rPr>
          <w:rFonts w:ascii="Verdana" w:hAnsi="Verdana"/>
          <w:sz w:val="24"/>
          <w:szCs w:val="24"/>
        </w:rPr>
        <w:t xml:space="preserve"> decades</w:t>
      </w:r>
      <w:r w:rsidR="008F69A4" w:rsidRPr="00F5014A">
        <w:rPr>
          <w:rFonts w:ascii="Verdana" w:hAnsi="Verdana"/>
          <w:sz w:val="24"/>
          <w:szCs w:val="24"/>
        </w:rPr>
        <w:t xml:space="preserve">. </w:t>
      </w:r>
      <w:r>
        <w:rPr>
          <w:rFonts w:ascii="Verdana" w:hAnsi="Verdana"/>
          <w:sz w:val="24"/>
          <w:szCs w:val="24"/>
        </w:rPr>
        <w:t>While inflation is finally slowing, it has not yet stopped, nor are prices return</w:t>
      </w:r>
      <w:r w:rsidR="00D308A3">
        <w:rPr>
          <w:rFonts w:ascii="Verdana" w:hAnsi="Verdana"/>
          <w:sz w:val="24"/>
          <w:szCs w:val="24"/>
        </w:rPr>
        <w:t>ing</w:t>
      </w:r>
      <w:r>
        <w:rPr>
          <w:rFonts w:ascii="Verdana" w:hAnsi="Verdana"/>
          <w:sz w:val="24"/>
          <w:szCs w:val="24"/>
        </w:rPr>
        <w:t xml:space="preserve"> to pre cost of living crisis levels.</w:t>
      </w:r>
      <w:r w:rsidR="005C45FD">
        <w:rPr>
          <w:rFonts w:ascii="Verdana" w:hAnsi="Verdana"/>
          <w:sz w:val="24"/>
          <w:szCs w:val="24"/>
        </w:rPr>
        <w:t xml:space="preserve"> </w:t>
      </w:r>
      <w:r w:rsidR="004B6BC3">
        <w:rPr>
          <w:rFonts w:ascii="Verdana" w:hAnsi="Verdana"/>
          <w:sz w:val="24"/>
          <w:szCs w:val="24"/>
          <w:lang w:val="en-GB"/>
        </w:rPr>
        <w:t xml:space="preserve">The </w:t>
      </w:r>
      <w:r w:rsidR="004B6BC3" w:rsidRPr="00E1419B">
        <w:rPr>
          <w:rFonts w:ascii="Verdana" w:hAnsi="Verdana"/>
          <w:sz w:val="24"/>
          <w:szCs w:val="24"/>
          <w:lang w:val="en-GB"/>
        </w:rPr>
        <w:t>Minimum Essential Standard of Living (MESL)</w:t>
      </w:r>
      <w:r w:rsidR="004B6BC3">
        <w:rPr>
          <w:rFonts w:ascii="Verdana" w:hAnsi="Verdana"/>
          <w:sz w:val="24"/>
          <w:szCs w:val="24"/>
          <w:lang w:val="en-GB"/>
        </w:rPr>
        <w:t xml:space="preserve"> Research Centre</w:t>
      </w:r>
      <w:r w:rsidR="004B6BC3" w:rsidRPr="00323025">
        <w:rPr>
          <w:rFonts w:ascii="Verdana" w:hAnsi="Verdana"/>
          <w:sz w:val="24"/>
          <w:szCs w:val="24"/>
        </w:rPr>
        <w:t xml:space="preserve">, </w:t>
      </w:r>
      <w:hyperlink r:id="rId13" w:history="1">
        <w:r w:rsidR="004B6BC3" w:rsidRPr="00323025">
          <w:rPr>
            <w:rStyle w:val="Hyperlink"/>
            <w:rFonts w:ascii="Verdana" w:hAnsi="Verdana"/>
            <w:sz w:val="24"/>
            <w:szCs w:val="24"/>
          </w:rPr>
          <w:t>analysing Budget 2024</w:t>
        </w:r>
      </w:hyperlink>
      <w:r w:rsidR="004B6BC3">
        <w:rPr>
          <w:rFonts w:ascii="Verdana" w:hAnsi="Verdana"/>
          <w:sz w:val="24"/>
          <w:szCs w:val="24"/>
        </w:rPr>
        <w:t>, concluded that “t</w:t>
      </w:r>
      <w:r w:rsidR="004B6BC3" w:rsidRPr="002377B5">
        <w:rPr>
          <w:rFonts w:ascii="Verdana" w:hAnsi="Verdana"/>
          <w:sz w:val="24"/>
          <w:szCs w:val="24"/>
        </w:rPr>
        <w:t>he purchasing power of core social protection supports has not been maintained, as a result</w:t>
      </w:r>
      <w:r w:rsidR="004B6BC3">
        <w:rPr>
          <w:rFonts w:ascii="Verdana" w:hAnsi="Verdana"/>
          <w:sz w:val="24"/>
          <w:szCs w:val="24"/>
        </w:rPr>
        <w:t xml:space="preserve"> </w:t>
      </w:r>
      <w:r w:rsidR="004B6BC3" w:rsidRPr="002377B5">
        <w:rPr>
          <w:rFonts w:ascii="Verdana" w:hAnsi="Verdana"/>
          <w:sz w:val="24"/>
          <w:szCs w:val="24"/>
        </w:rPr>
        <w:t>the adjustments are a real term cut</w:t>
      </w:r>
      <w:r w:rsidR="004B6BC3">
        <w:rPr>
          <w:rFonts w:ascii="Verdana" w:hAnsi="Verdana"/>
          <w:sz w:val="24"/>
          <w:szCs w:val="24"/>
        </w:rPr>
        <w:t xml:space="preserve">. […] </w:t>
      </w:r>
      <w:r w:rsidR="004B6BC3" w:rsidRPr="002377B5">
        <w:rPr>
          <w:rFonts w:ascii="Verdana" w:hAnsi="Verdana"/>
          <w:sz w:val="24"/>
          <w:szCs w:val="24"/>
        </w:rPr>
        <w:t>These measures are likely to compound the deepening and widening of income inadequacy that</w:t>
      </w:r>
      <w:r w:rsidR="004B6BC3">
        <w:rPr>
          <w:rFonts w:ascii="Verdana" w:hAnsi="Verdana"/>
          <w:sz w:val="24"/>
          <w:szCs w:val="24"/>
        </w:rPr>
        <w:t xml:space="preserve"> </w:t>
      </w:r>
      <w:r w:rsidR="004B6BC3" w:rsidRPr="002377B5">
        <w:rPr>
          <w:rFonts w:ascii="Verdana" w:hAnsi="Verdana"/>
          <w:sz w:val="24"/>
          <w:szCs w:val="24"/>
        </w:rPr>
        <w:t>developed this year</w:t>
      </w:r>
      <w:r w:rsidR="004B6BC3">
        <w:rPr>
          <w:rFonts w:ascii="Verdana" w:hAnsi="Verdana"/>
          <w:sz w:val="24"/>
          <w:szCs w:val="24"/>
        </w:rPr>
        <w:t>.”</w:t>
      </w:r>
      <w:r w:rsidR="00726C2E">
        <w:rPr>
          <w:rFonts w:ascii="Verdana" w:hAnsi="Verdana"/>
          <w:sz w:val="24"/>
          <w:szCs w:val="24"/>
        </w:rPr>
        <w:t xml:space="preserve"> </w:t>
      </w:r>
    </w:p>
    <w:p w14:paraId="3D792B19" w14:textId="77777777" w:rsidR="003D1BBB" w:rsidRDefault="00767D58" w:rsidP="0012628F">
      <w:pPr>
        <w:rPr>
          <w:rFonts w:ascii="Verdana" w:hAnsi="Verdana"/>
          <w:sz w:val="24"/>
          <w:szCs w:val="24"/>
          <w:lang w:val="en-GB"/>
        </w:rPr>
      </w:pPr>
      <w:r>
        <w:rPr>
          <w:rFonts w:ascii="Verdana" w:hAnsi="Verdana"/>
          <w:sz w:val="24"/>
          <w:szCs w:val="24"/>
          <w:lang w:val="en-GB"/>
        </w:rPr>
        <w:t xml:space="preserve">THE 2024 MESL </w:t>
      </w:r>
      <w:r w:rsidR="0012628F" w:rsidRPr="0012628F">
        <w:rPr>
          <w:rFonts w:ascii="Verdana" w:hAnsi="Verdana"/>
          <w:sz w:val="24"/>
          <w:szCs w:val="24"/>
          <w:lang w:val="en-GB"/>
        </w:rPr>
        <w:t>research f</w:t>
      </w:r>
      <w:r w:rsidR="0012628F">
        <w:rPr>
          <w:rFonts w:ascii="Verdana" w:hAnsi="Verdana"/>
          <w:sz w:val="24"/>
          <w:szCs w:val="24"/>
          <w:lang w:val="en-GB"/>
        </w:rPr>
        <w:t>ound</w:t>
      </w:r>
      <w:r w:rsidR="0012628F" w:rsidRPr="0012628F">
        <w:rPr>
          <w:rFonts w:ascii="Verdana" w:hAnsi="Verdana"/>
          <w:sz w:val="24"/>
          <w:szCs w:val="24"/>
          <w:lang w:val="en-GB"/>
        </w:rPr>
        <w:t xml:space="preserve"> a relative stabilisation in costs, with a</w:t>
      </w:r>
      <w:r w:rsidR="0012628F">
        <w:rPr>
          <w:rFonts w:ascii="Verdana" w:hAnsi="Verdana"/>
          <w:sz w:val="24"/>
          <w:szCs w:val="24"/>
          <w:lang w:val="en-GB"/>
        </w:rPr>
        <w:t xml:space="preserve"> </w:t>
      </w:r>
      <w:r w:rsidR="0012628F" w:rsidRPr="0012628F">
        <w:rPr>
          <w:rFonts w:ascii="Verdana" w:hAnsi="Verdana"/>
          <w:sz w:val="24"/>
          <w:szCs w:val="24"/>
          <w:lang w:val="en-GB"/>
        </w:rPr>
        <w:t>slight decline compared to 2023. However,</w:t>
      </w:r>
      <w:r w:rsidR="002A480A">
        <w:rPr>
          <w:rFonts w:ascii="Verdana" w:hAnsi="Verdana"/>
          <w:sz w:val="24"/>
          <w:szCs w:val="24"/>
          <w:lang w:val="en-GB"/>
        </w:rPr>
        <w:t xml:space="preserve"> as they point </w:t>
      </w:r>
      <w:proofErr w:type="gramStart"/>
      <w:r w:rsidR="002A480A">
        <w:rPr>
          <w:rFonts w:ascii="Verdana" w:hAnsi="Verdana"/>
          <w:sz w:val="24"/>
          <w:szCs w:val="24"/>
          <w:lang w:val="en-GB"/>
        </w:rPr>
        <w:t>out</w:t>
      </w:r>
      <w:r w:rsidR="00665D52">
        <w:rPr>
          <w:rFonts w:ascii="Verdana" w:hAnsi="Verdana"/>
          <w:sz w:val="24"/>
          <w:szCs w:val="24"/>
          <w:lang w:val="en-GB"/>
        </w:rPr>
        <w:t xml:space="preserve"> </w:t>
      </w:r>
      <w:r w:rsidR="009E5034">
        <w:rPr>
          <w:rFonts w:ascii="Verdana" w:hAnsi="Verdana"/>
          <w:sz w:val="24"/>
          <w:szCs w:val="24"/>
          <w:lang w:val="en-GB"/>
        </w:rPr>
        <w:t>”</w:t>
      </w:r>
      <w:r w:rsidR="0012628F" w:rsidRPr="0012628F">
        <w:rPr>
          <w:rFonts w:ascii="Verdana" w:hAnsi="Verdana"/>
          <w:sz w:val="24"/>
          <w:szCs w:val="24"/>
          <w:lang w:val="en-GB"/>
        </w:rPr>
        <w:t>the</w:t>
      </w:r>
      <w:proofErr w:type="gramEnd"/>
      <w:r w:rsidR="0012628F" w:rsidRPr="0012628F">
        <w:rPr>
          <w:rFonts w:ascii="Verdana" w:hAnsi="Verdana"/>
          <w:sz w:val="24"/>
          <w:szCs w:val="24"/>
          <w:lang w:val="en-GB"/>
        </w:rPr>
        <w:t xml:space="preserve"> cumulative impact of</w:t>
      </w:r>
      <w:r w:rsidR="0012628F">
        <w:rPr>
          <w:rFonts w:ascii="Verdana" w:hAnsi="Verdana"/>
          <w:sz w:val="24"/>
          <w:szCs w:val="24"/>
          <w:lang w:val="en-GB"/>
        </w:rPr>
        <w:t xml:space="preserve"> </w:t>
      </w:r>
      <w:r w:rsidR="0012628F" w:rsidRPr="0012628F">
        <w:rPr>
          <w:rFonts w:ascii="Verdana" w:hAnsi="Verdana"/>
          <w:sz w:val="24"/>
          <w:szCs w:val="24"/>
          <w:lang w:val="en-GB"/>
        </w:rPr>
        <w:t>inflation to date has resulted in a significant increase of 16.8% in core</w:t>
      </w:r>
      <w:r w:rsidR="009E5034">
        <w:rPr>
          <w:rFonts w:ascii="Verdana" w:hAnsi="Verdana"/>
          <w:sz w:val="24"/>
          <w:szCs w:val="24"/>
          <w:lang w:val="en-GB"/>
        </w:rPr>
        <w:t xml:space="preserve"> </w:t>
      </w:r>
      <w:r w:rsidR="0012628F" w:rsidRPr="0012628F">
        <w:rPr>
          <w:rFonts w:ascii="Verdana" w:hAnsi="Verdana"/>
          <w:sz w:val="24"/>
          <w:szCs w:val="24"/>
          <w:lang w:val="en-GB"/>
        </w:rPr>
        <w:t xml:space="preserve">MESL costs from 2020 to 2024. By comparison, the </w:t>
      </w:r>
      <w:r w:rsidR="0012628F" w:rsidRPr="0012628F">
        <w:rPr>
          <w:rFonts w:ascii="Verdana" w:hAnsi="Verdana"/>
          <w:sz w:val="24"/>
          <w:szCs w:val="24"/>
          <w:lang w:val="en-GB"/>
        </w:rPr>
        <w:lastRenderedPageBreak/>
        <w:t>standard core</w:t>
      </w:r>
      <w:r w:rsidR="009E5034">
        <w:rPr>
          <w:rFonts w:ascii="Verdana" w:hAnsi="Verdana"/>
          <w:sz w:val="24"/>
          <w:szCs w:val="24"/>
          <w:lang w:val="en-GB"/>
        </w:rPr>
        <w:t xml:space="preserve"> </w:t>
      </w:r>
      <w:r w:rsidR="0012628F" w:rsidRPr="0012628F">
        <w:rPr>
          <w:rFonts w:ascii="Verdana" w:hAnsi="Verdana"/>
          <w:sz w:val="24"/>
          <w:szCs w:val="24"/>
          <w:lang w:val="en-GB"/>
        </w:rPr>
        <w:t>working-age social welfare rate has increased by 14.3% over the same</w:t>
      </w:r>
      <w:r w:rsidR="009E5034">
        <w:rPr>
          <w:rFonts w:ascii="Verdana" w:hAnsi="Verdana"/>
          <w:sz w:val="24"/>
          <w:szCs w:val="24"/>
          <w:lang w:val="en-GB"/>
        </w:rPr>
        <w:t xml:space="preserve"> </w:t>
      </w:r>
      <w:r w:rsidR="0012628F" w:rsidRPr="0012628F">
        <w:rPr>
          <w:rFonts w:ascii="Verdana" w:hAnsi="Verdana"/>
          <w:sz w:val="24"/>
          <w:szCs w:val="24"/>
          <w:lang w:val="en-GB"/>
        </w:rPr>
        <w:t>period. Consequently, the incidence and depth of inadequate income</w:t>
      </w:r>
      <w:r w:rsidR="002A480A">
        <w:rPr>
          <w:rFonts w:ascii="Verdana" w:hAnsi="Verdana"/>
          <w:sz w:val="24"/>
          <w:szCs w:val="24"/>
          <w:lang w:val="en-GB"/>
        </w:rPr>
        <w:t xml:space="preserve"> </w:t>
      </w:r>
      <w:r w:rsidR="0012628F" w:rsidRPr="0012628F">
        <w:rPr>
          <w:rFonts w:ascii="Verdana" w:hAnsi="Verdana"/>
          <w:sz w:val="24"/>
          <w:szCs w:val="24"/>
          <w:lang w:val="en-GB"/>
        </w:rPr>
        <w:t>continues to be at a higher rate than that found prior to 2023</w:t>
      </w:r>
      <w:r w:rsidR="002A480A">
        <w:rPr>
          <w:rFonts w:ascii="Verdana" w:hAnsi="Verdana"/>
          <w:sz w:val="24"/>
          <w:szCs w:val="24"/>
          <w:lang w:val="en-GB"/>
        </w:rPr>
        <w:t>.”</w:t>
      </w:r>
      <w:r w:rsidR="002A480A">
        <w:rPr>
          <w:rStyle w:val="FootnoteReference"/>
          <w:rFonts w:ascii="Verdana" w:hAnsi="Verdana"/>
          <w:sz w:val="24"/>
          <w:szCs w:val="24"/>
          <w:lang w:val="en-GB"/>
        </w:rPr>
        <w:footnoteReference w:id="30"/>
      </w:r>
      <w:r w:rsidR="00D2690B">
        <w:rPr>
          <w:rFonts w:ascii="Verdana" w:hAnsi="Verdana"/>
          <w:sz w:val="24"/>
          <w:szCs w:val="24"/>
          <w:lang w:val="en-GB"/>
        </w:rPr>
        <w:t xml:space="preserve"> </w:t>
      </w:r>
    </w:p>
    <w:p w14:paraId="06B1F86A" w14:textId="50B4733D" w:rsidR="00832FAE" w:rsidRDefault="00D2690B" w:rsidP="00832FAE">
      <w:pPr>
        <w:rPr>
          <w:rFonts w:ascii="Verdana" w:hAnsi="Verdana"/>
          <w:sz w:val="24"/>
          <w:szCs w:val="24"/>
          <w:lang w:val="en-GB"/>
        </w:rPr>
      </w:pPr>
      <w:r>
        <w:rPr>
          <w:rFonts w:ascii="Verdana" w:hAnsi="Verdana"/>
          <w:sz w:val="24"/>
          <w:szCs w:val="24"/>
          <w:lang w:val="en-GB"/>
        </w:rPr>
        <w:t xml:space="preserve">The analysis also found that </w:t>
      </w:r>
      <w:r w:rsidR="00A812E6">
        <w:rPr>
          <w:rFonts w:ascii="Verdana" w:hAnsi="Verdana"/>
          <w:sz w:val="24"/>
          <w:szCs w:val="24"/>
          <w:lang w:val="en-GB"/>
        </w:rPr>
        <w:t>without the one-off ‘cost of living’ supports, inadequacy would be significantly higher. This is very concerning, given that such supports were clearly labelled one-off</w:t>
      </w:r>
      <w:r w:rsidR="000F54CC">
        <w:rPr>
          <w:rFonts w:ascii="Verdana" w:hAnsi="Verdana"/>
          <w:sz w:val="24"/>
          <w:szCs w:val="24"/>
          <w:lang w:val="en-GB"/>
        </w:rPr>
        <w:t>, and do not seem likely to recur at the same level this year</w:t>
      </w:r>
      <w:r w:rsidR="00A812E6">
        <w:rPr>
          <w:rFonts w:ascii="Verdana" w:hAnsi="Verdana"/>
          <w:sz w:val="24"/>
          <w:szCs w:val="24"/>
          <w:lang w:val="en-GB"/>
        </w:rPr>
        <w:t>.</w:t>
      </w:r>
      <w:r w:rsidR="00153498">
        <w:rPr>
          <w:rFonts w:ascii="Verdana" w:hAnsi="Verdana"/>
          <w:sz w:val="24"/>
          <w:szCs w:val="24"/>
          <w:lang w:val="en-GB"/>
        </w:rPr>
        <w:t xml:space="preserve"> </w:t>
      </w:r>
      <w:r w:rsidR="00510B0E">
        <w:rPr>
          <w:rFonts w:ascii="Verdana" w:hAnsi="Verdana"/>
          <w:sz w:val="24"/>
          <w:szCs w:val="24"/>
        </w:rPr>
        <w:t xml:space="preserve">Essentially this means that those relying on our social protection system to </w:t>
      </w:r>
      <w:r w:rsidR="002F524B">
        <w:rPr>
          <w:rFonts w:ascii="Verdana" w:hAnsi="Verdana"/>
          <w:sz w:val="24"/>
          <w:szCs w:val="24"/>
        </w:rPr>
        <w:t>survive</w:t>
      </w:r>
      <w:r w:rsidR="00510B0E">
        <w:rPr>
          <w:rFonts w:ascii="Verdana" w:hAnsi="Verdana"/>
          <w:sz w:val="24"/>
          <w:szCs w:val="24"/>
        </w:rPr>
        <w:t xml:space="preserve"> have been pushed further into </w:t>
      </w:r>
      <w:proofErr w:type="gramStart"/>
      <w:r w:rsidR="00510B0E">
        <w:rPr>
          <w:rFonts w:ascii="Verdana" w:hAnsi="Verdana"/>
          <w:sz w:val="24"/>
          <w:szCs w:val="24"/>
        </w:rPr>
        <w:t>poverty, and</w:t>
      </w:r>
      <w:proofErr w:type="gramEnd"/>
      <w:r w:rsidR="00510B0E">
        <w:rPr>
          <w:rFonts w:ascii="Verdana" w:hAnsi="Verdana"/>
          <w:sz w:val="24"/>
          <w:szCs w:val="24"/>
        </w:rPr>
        <w:t xml:space="preserve"> are worse off now than they were </w:t>
      </w:r>
      <w:r w:rsidR="000F54CC">
        <w:rPr>
          <w:rFonts w:ascii="Verdana" w:hAnsi="Verdana"/>
          <w:sz w:val="24"/>
          <w:szCs w:val="24"/>
        </w:rPr>
        <w:t>four</w:t>
      </w:r>
      <w:r w:rsidR="00510B0E">
        <w:rPr>
          <w:rFonts w:ascii="Verdana" w:hAnsi="Verdana"/>
          <w:sz w:val="24"/>
          <w:szCs w:val="24"/>
        </w:rPr>
        <w:t xml:space="preserve"> years ago, in terms of what their Disability Allowance can pay for on a weekly basis. </w:t>
      </w:r>
      <w:r w:rsidR="00455F90">
        <w:rPr>
          <w:rFonts w:ascii="Verdana" w:hAnsi="Verdana"/>
          <w:sz w:val="24"/>
          <w:szCs w:val="24"/>
          <w:lang w:val="en-GB"/>
        </w:rPr>
        <w:t>The</w:t>
      </w:r>
      <w:r w:rsidR="00396DC0">
        <w:rPr>
          <w:rFonts w:ascii="Verdana" w:hAnsi="Verdana"/>
          <w:sz w:val="24"/>
          <w:szCs w:val="24"/>
          <w:lang w:val="en-GB"/>
        </w:rPr>
        <w:t xml:space="preserve"> MESL also predicts a </w:t>
      </w:r>
      <w:r w:rsidR="00F27170">
        <w:rPr>
          <w:rFonts w:ascii="Verdana" w:hAnsi="Verdana"/>
          <w:sz w:val="24"/>
          <w:szCs w:val="24"/>
          <w:lang w:val="en-GB"/>
        </w:rPr>
        <w:t xml:space="preserve">potential </w:t>
      </w:r>
      <w:r w:rsidR="00396DC0">
        <w:rPr>
          <w:rFonts w:ascii="Verdana" w:hAnsi="Verdana"/>
          <w:sz w:val="24"/>
          <w:szCs w:val="24"/>
          <w:lang w:val="en-GB"/>
        </w:rPr>
        <w:t>further 4.8% increase in costs during 2025.</w:t>
      </w:r>
      <w:r w:rsidR="00396DC0">
        <w:rPr>
          <w:rStyle w:val="FootnoteReference"/>
          <w:rFonts w:ascii="Verdana" w:hAnsi="Verdana"/>
          <w:sz w:val="24"/>
          <w:szCs w:val="24"/>
          <w:lang w:val="en-GB"/>
        </w:rPr>
        <w:footnoteReference w:id="31"/>
      </w:r>
      <w:r w:rsidR="00396DC0">
        <w:rPr>
          <w:rFonts w:ascii="Verdana" w:hAnsi="Verdana"/>
          <w:sz w:val="24"/>
          <w:szCs w:val="24"/>
          <w:lang w:val="en-GB"/>
        </w:rPr>
        <w:t xml:space="preserve"> </w:t>
      </w:r>
    </w:p>
    <w:p w14:paraId="2C34F694" w14:textId="6E3571AB" w:rsidR="002A5D96" w:rsidRPr="002A5D96" w:rsidRDefault="002A5D96" w:rsidP="00832FAE">
      <w:pPr>
        <w:rPr>
          <w:rFonts w:ascii="Verdana" w:hAnsi="Verdana" w:cs="Arial"/>
          <w:sz w:val="24"/>
          <w:szCs w:val="24"/>
        </w:rPr>
      </w:pPr>
      <w:r w:rsidRPr="00946287">
        <w:rPr>
          <w:rFonts w:ascii="Verdana" w:hAnsi="Verdana"/>
          <w:sz w:val="24"/>
          <w:szCs w:val="24"/>
        </w:rPr>
        <w:t xml:space="preserve">As previously mentioned, it is important also to remember both that </w:t>
      </w:r>
      <w:r w:rsidRPr="0098716D">
        <w:rPr>
          <w:rFonts w:ascii="Verdana" w:hAnsi="Verdana"/>
          <w:b/>
          <w:bCs/>
          <w:sz w:val="24"/>
          <w:szCs w:val="24"/>
        </w:rPr>
        <w:t>MESL does not account for the extra Cost of Disability, and that the extra Cost of Disability</w:t>
      </w:r>
      <w:r w:rsidR="00472E8F" w:rsidRPr="0098716D">
        <w:rPr>
          <w:rFonts w:ascii="Verdana" w:hAnsi="Verdana"/>
          <w:b/>
          <w:bCs/>
          <w:sz w:val="24"/>
          <w:szCs w:val="24"/>
        </w:rPr>
        <w:t xml:space="preserve"> estimates</w:t>
      </w:r>
      <w:r w:rsidRPr="0098716D">
        <w:rPr>
          <w:rFonts w:ascii="Verdana" w:hAnsi="Verdana"/>
          <w:b/>
          <w:bCs/>
          <w:sz w:val="24"/>
          <w:szCs w:val="24"/>
        </w:rPr>
        <w:t xml:space="preserve"> precede the inflationary spike</w:t>
      </w:r>
      <w:r w:rsidRPr="00946287">
        <w:rPr>
          <w:rFonts w:ascii="Verdana" w:hAnsi="Verdana"/>
          <w:sz w:val="24"/>
          <w:szCs w:val="24"/>
        </w:rPr>
        <w:t xml:space="preserve">. </w:t>
      </w:r>
      <w:r w:rsidR="00411B5A">
        <w:rPr>
          <w:rFonts w:ascii="Verdana" w:hAnsi="Verdana" w:cs="Arial"/>
          <w:sz w:val="24"/>
          <w:szCs w:val="24"/>
        </w:rPr>
        <w:t xml:space="preserve">As previously indicated, </w:t>
      </w:r>
      <w:r w:rsidRPr="00946287">
        <w:rPr>
          <w:rFonts w:ascii="Verdana" w:hAnsi="Verdana" w:cs="Arial"/>
          <w:sz w:val="24"/>
          <w:szCs w:val="24"/>
        </w:rPr>
        <w:t xml:space="preserve">we </w:t>
      </w:r>
      <w:r w:rsidR="00411B5A">
        <w:rPr>
          <w:rFonts w:ascii="Verdana" w:hAnsi="Verdana" w:cs="Arial"/>
          <w:sz w:val="24"/>
          <w:szCs w:val="24"/>
        </w:rPr>
        <w:t>estimate that inflation</w:t>
      </w:r>
      <w:r w:rsidRPr="00946287">
        <w:rPr>
          <w:rFonts w:ascii="Verdana" w:hAnsi="Verdana" w:cs="Arial"/>
          <w:sz w:val="24"/>
          <w:szCs w:val="24"/>
        </w:rPr>
        <w:t xml:space="preserve"> has likely increased the original range to €10,397 – €15,177.</w:t>
      </w:r>
      <w:r w:rsidRPr="00946287">
        <w:rPr>
          <w:rStyle w:val="FootnoteReference"/>
          <w:rFonts w:ascii="Verdana" w:hAnsi="Verdana" w:cs="Arial"/>
          <w:sz w:val="24"/>
          <w:szCs w:val="24"/>
        </w:rPr>
        <w:footnoteReference w:id="32"/>
      </w:r>
      <w:r w:rsidRPr="00946287">
        <w:rPr>
          <w:rFonts w:ascii="Verdana" w:hAnsi="Verdana" w:cs="Arial"/>
          <w:sz w:val="24"/>
          <w:szCs w:val="24"/>
        </w:rPr>
        <w:t xml:space="preserve"> </w:t>
      </w:r>
    </w:p>
    <w:p w14:paraId="5DDD1D18" w14:textId="421AAEF9" w:rsidR="00832FAE" w:rsidRPr="00AB2536" w:rsidRDefault="00832FAE" w:rsidP="00FE630E">
      <w:pPr>
        <w:rPr>
          <w:rFonts w:ascii="Verdana" w:hAnsi="Verdana"/>
          <w:sz w:val="24"/>
          <w:szCs w:val="24"/>
          <w:lang w:val="en-GB"/>
        </w:rPr>
      </w:pPr>
      <w:r w:rsidRPr="001B57D2">
        <w:rPr>
          <w:rFonts w:ascii="Verdana" w:hAnsi="Verdana"/>
          <w:sz w:val="24"/>
          <w:szCs w:val="24"/>
          <w:lang w:val="en-GB"/>
        </w:rPr>
        <w:t>It is notable that at the Department of Social Protection’s annual Pre</w:t>
      </w:r>
      <w:r>
        <w:rPr>
          <w:rFonts w:ascii="Verdana" w:hAnsi="Verdana"/>
          <w:sz w:val="24"/>
          <w:szCs w:val="24"/>
          <w:lang w:val="en-GB"/>
        </w:rPr>
        <w:t>-</w:t>
      </w:r>
      <w:r w:rsidRPr="001B57D2">
        <w:rPr>
          <w:rFonts w:ascii="Verdana" w:hAnsi="Verdana"/>
          <w:sz w:val="24"/>
          <w:szCs w:val="24"/>
          <w:lang w:val="en-GB"/>
        </w:rPr>
        <w:t>Budget Forum, the one policy proposal that gets unanimous support from civil society</w:t>
      </w:r>
      <w:r>
        <w:rPr>
          <w:rFonts w:ascii="Verdana" w:hAnsi="Verdana"/>
          <w:sz w:val="24"/>
          <w:szCs w:val="24"/>
          <w:lang w:val="en-GB"/>
        </w:rPr>
        <w:t xml:space="preserve"> every year</w:t>
      </w:r>
      <w:r w:rsidRPr="001B57D2">
        <w:rPr>
          <w:rFonts w:ascii="Verdana" w:hAnsi="Verdana"/>
          <w:sz w:val="24"/>
          <w:szCs w:val="24"/>
          <w:lang w:val="en-GB"/>
        </w:rPr>
        <w:t xml:space="preserve"> is the recommendation of the MESL</w:t>
      </w:r>
      <w:r>
        <w:rPr>
          <w:rFonts w:ascii="Verdana" w:hAnsi="Verdana"/>
          <w:sz w:val="24"/>
          <w:szCs w:val="24"/>
          <w:lang w:val="en-GB"/>
        </w:rPr>
        <w:t xml:space="preserve"> Research Centre</w:t>
      </w:r>
      <w:r w:rsidRPr="001B57D2">
        <w:rPr>
          <w:rFonts w:ascii="Verdana" w:hAnsi="Verdana"/>
          <w:sz w:val="24"/>
          <w:szCs w:val="24"/>
          <w:lang w:val="en-GB"/>
        </w:rPr>
        <w:t>. It is also noteworthy that numerous Joint Oireachtas Committees</w:t>
      </w:r>
      <w:r>
        <w:rPr>
          <w:rFonts w:ascii="Verdana" w:hAnsi="Verdana"/>
          <w:sz w:val="24"/>
          <w:szCs w:val="24"/>
          <w:lang w:val="en-GB"/>
        </w:rPr>
        <w:t xml:space="preserve"> (JOCs)</w:t>
      </w:r>
      <w:r w:rsidRPr="001B57D2">
        <w:rPr>
          <w:rFonts w:ascii="Verdana" w:hAnsi="Verdana"/>
          <w:sz w:val="24"/>
          <w:szCs w:val="24"/>
          <w:lang w:val="en-GB"/>
        </w:rPr>
        <w:t>, including the Disability Matters, Gender Equality and Social Protection</w:t>
      </w:r>
      <w:r>
        <w:rPr>
          <w:rFonts w:ascii="Verdana" w:hAnsi="Verdana"/>
          <w:sz w:val="24"/>
          <w:szCs w:val="24"/>
          <w:lang w:val="en-GB"/>
        </w:rPr>
        <w:t xml:space="preserve"> Committees,</w:t>
      </w:r>
      <w:r w:rsidRPr="001B57D2">
        <w:rPr>
          <w:rFonts w:ascii="Verdana" w:hAnsi="Verdana"/>
          <w:sz w:val="24"/>
          <w:szCs w:val="24"/>
          <w:lang w:val="en-GB"/>
        </w:rPr>
        <w:t xml:space="preserve"> have endorsed Ireland moving to </w:t>
      </w:r>
      <w:r>
        <w:rPr>
          <w:rFonts w:ascii="Verdana" w:hAnsi="Verdana"/>
          <w:sz w:val="24"/>
          <w:szCs w:val="24"/>
          <w:lang w:val="en-GB"/>
        </w:rPr>
        <w:t xml:space="preserve">deliver </w:t>
      </w:r>
      <w:r w:rsidRPr="001B57D2">
        <w:rPr>
          <w:rFonts w:ascii="Verdana" w:hAnsi="Verdana"/>
          <w:sz w:val="24"/>
          <w:szCs w:val="24"/>
          <w:lang w:val="en-GB"/>
        </w:rPr>
        <w:t>MESL</w:t>
      </w:r>
      <w:r w:rsidRPr="001B57D2">
        <w:rPr>
          <w:rStyle w:val="FootnoteReference"/>
          <w:rFonts w:ascii="Verdana" w:hAnsi="Verdana"/>
          <w:sz w:val="24"/>
          <w:szCs w:val="24"/>
          <w:lang w:val="en-GB"/>
        </w:rPr>
        <w:footnoteReference w:id="33"/>
      </w:r>
      <w:r w:rsidRPr="001B57D2">
        <w:rPr>
          <w:rFonts w:ascii="Verdana" w:hAnsi="Verdana"/>
          <w:sz w:val="24"/>
          <w:szCs w:val="24"/>
          <w:lang w:val="en-GB"/>
        </w:rPr>
        <w:t xml:space="preserve"> - this indicates cross-party support</w:t>
      </w:r>
      <w:r>
        <w:rPr>
          <w:rFonts w:ascii="Verdana" w:hAnsi="Verdana"/>
          <w:sz w:val="24"/>
          <w:szCs w:val="24"/>
          <w:lang w:val="en-GB"/>
        </w:rPr>
        <w:t xml:space="preserve"> to address income inadequacy</w:t>
      </w:r>
      <w:r w:rsidRPr="001B57D2">
        <w:rPr>
          <w:rFonts w:ascii="Verdana" w:hAnsi="Verdana"/>
          <w:sz w:val="24"/>
          <w:szCs w:val="24"/>
          <w:lang w:val="en-GB"/>
        </w:rPr>
        <w:t>.</w:t>
      </w:r>
    </w:p>
    <w:p w14:paraId="0DCC1339" w14:textId="05189D9A" w:rsidR="00510E6F" w:rsidRDefault="005F45DF" w:rsidP="005E5F51">
      <w:pPr>
        <w:rPr>
          <w:rFonts w:ascii="Verdana" w:hAnsi="Verdana"/>
          <w:sz w:val="24"/>
          <w:szCs w:val="24"/>
        </w:rPr>
      </w:pPr>
      <w:r w:rsidRPr="001B57D2">
        <w:rPr>
          <w:rFonts w:ascii="Verdana" w:hAnsi="Verdana"/>
          <w:sz w:val="24"/>
          <w:szCs w:val="24"/>
        </w:rPr>
        <w:t>There is no systematic approach to increases in Ireland’s social protection rates, which are subject to political decisions</w:t>
      </w:r>
      <w:r>
        <w:rPr>
          <w:rFonts w:ascii="Verdana" w:hAnsi="Verdana"/>
          <w:sz w:val="24"/>
          <w:szCs w:val="24"/>
        </w:rPr>
        <w:t xml:space="preserve"> annually during the budget cycle</w:t>
      </w:r>
      <w:r w:rsidRPr="001B57D2">
        <w:rPr>
          <w:rFonts w:ascii="Verdana" w:hAnsi="Verdana"/>
          <w:sz w:val="24"/>
          <w:szCs w:val="24"/>
        </w:rPr>
        <w:t xml:space="preserve">. </w:t>
      </w:r>
      <w:r w:rsidR="00AB2536">
        <w:rPr>
          <w:rFonts w:ascii="Verdana" w:eastAsia="Verdana" w:hAnsi="Verdana" w:cs="Verdana"/>
          <w:color w:val="000000" w:themeColor="text1"/>
          <w:sz w:val="24"/>
          <w:szCs w:val="24"/>
        </w:rPr>
        <w:t>The EU Commission</w:t>
      </w:r>
      <w:r w:rsidR="002A5D96">
        <w:rPr>
          <w:rFonts w:ascii="Verdana" w:eastAsia="Verdana" w:hAnsi="Verdana" w:cs="Verdana"/>
          <w:color w:val="000000" w:themeColor="text1"/>
          <w:sz w:val="24"/>
          <w:szCs w:val="24"/>
        </w:rPr>
        <w:t xml:space="preserve"> in</w:t>
      </w:r>
      <w:r w:rsidR="00FD5726">
        <w:rPr>
          <w:rFonts w:ascii="Verdana" w:eastAsia="Verdana" w:hAnsi="Verdana" w:cs="Verdana"/>
          <w:color w:val="000000" w:themeColor="text1"/>
          <w:sz w:val="24"/>
          <w:szCs w:val="24"/>
        </w:rPr>
        <w:t xml:space="preserve"> its</w:t>
      </w:r>
      <w:r w:rsidR="002A5D96">
        <w:rPr>
          <w:rFonts w:ascii="Verdana" w:eastAsia="Verdana" w:hAnsi="Verdana" w:cs="Verdana"/>
          <w:color w:val="000000" w:themeColor="text1"/>
          <w:sz w:val="24"/>
          <w:szCs w:val="24"/>
        </w:rPr>
        <w:t xml:space="preserve"> EU Semester Country Report this year</w:t>
      </w:r>
      <w:r w:rsidR="00AB2536">
        <w:rPr>
          <w:rFonts w:ascii="Verdana" w:eastAsia="Verdana" w:hAnsi="Verdana" w:cs="Verdana"/>
          <w:color w:val="000000" w:themeColor="text1"/>
          <w:sz w:val="24"/>
          <w:szCs w:val="24"/>
        </w:rPr>
        <w:t xml:space="preserve"> </w:t>
      </w:r>
      <w:r w:rsidR="002A5D96">
        <w:rPr>
          <w:rFonts w:ascii="Verdana" w:eastAsia="Verdana" w:hAnsi="Verdana" w:cs="Verdana"/>
          <w:color w:val="000000" w:themeColor="text1"/>
          <w:sz w:val="24"/>
          <w:szCs w:val="24"/>
        </w:rPr>
        <w:t>recommended a move to indexation</w:t>
      </w:r>
      <w:r w:rsidR="000952BE">
        <w:rPr>
          <w:rFonts w:ascii="Verdana" w:eastAsia="Verdana" w:hAnsi="Verdana" w:cs="Verdana"/>
          <w:color w:val="000000" w:themeColor="text1"/>
          <w:sz w:val="24"/>
          <w:szCs w:val="24"/>
        </w:rPr>
        <w:t>. As they write:</w:t>
      </w:r>
      <w:r w:rsidR="00510E6F" w:rsidRPr="005E5F51">
        <w:rPr>
          <w:rFonts w:ascii="Verdana" w:hAnsi="Verdana"/>
          <w:sz w:val="24"/>
          <w:szCs w:val="24"/>
        </w:rPr>
        <w:t xml:space="preserve"> “</w:t>
      </w:r>
      <w:r w:rsidR="000952BE">
        <w:rPr>
          <w:rFonts w:ascii="Verdana" w:hAnsi="Verdana"/>
          <w:sz w:val="24"/>
          <w:szCs w:val="24"/>
        </w:rPr>
        <w:t>p</w:t>
      </w:r>
      <w:r w:rsidR="00510E6F" w:rsidRPr="005E5F51">
        <w:rPr>
          <w:rFonts w:ascii="Verdana" w:hAnsi="Verdana"/>
          <w:sz w:val="24"/>
          <w:szCs w:val="24"/>
        </w:rPr>
        <w:t xml:space="preserve">overty and social exclusion remain challenges, especially for vulnerable groups. Among those most affected are persons with disabilities, Travellers and Roma, older people, and single parents. </w:t>
      </w:r>
      <w:r w:rsidR="00510E6F" w:rsidRPr="0098716D">
        <w:rPr>
          <w:rFonts w:ascii="Verdana" w:hAnsi="Verdana"/>
          <w:b/>
          <w:bCs/>
          <w:sz w:val="24"/>
          <w:szCs w:val="24"/>
        </w:rPr>
        <w:t>Indexing welfare payments could help Ireland reach the national 2030 target of 90 000 fewer people at risk of poverty or social exclusion (AROPE)</w:t>
      </w:r>
      <w:r w:rsidR="000952BE">
        <w:rPr>
          <w:rFonts w:ascii="Verdana" w:hAnsi="Verdana"/>
          <w:sz w:val="24"/>
          <w:szCs w:val="24"/>
        </w:rPr>
        <w:t>.</w:t>
      </w:r>
      <w:r w:rsidR="00510E6F" w:rsidRPr="005E5F51">
        <w:rPr>
          <w:rFonts w:ascii="Verdana" w:hAnsi="Verdana"/>
          <w:sz w:val="24"/>
          <w:szCs w:val="24"/>
        </w:rPr>
        <w:t>”</w:t>
      </w:r>
      <w:r w:rsidR="00510E6F" w:rsidRPr="005E5F51">
        <w:rPr>
          <w:rStyle w:val="FootnoteReference"/>
          <w:rFonts w:ascii="Verdana" w:eastAsia="Verdana" w:hAnsi="Verdana" w:cs="Verdana"/>
          <w:color w:val="000000" w:themeColor="text1"/>
          <w:sz w:val="24"/>
          <w:szCs w:val="24"/>
        </w:rPr>
        <w:footnoteReference w:id="34"/>
      </w:r>
    </w:p>
    <w:p w14:paraId="4BCA6D67" w14:textId="208B2106" w:rsidR="00326A6A" w:rsidRPr="00326A6A" w:rsidRDefault="00326A6A" w:rsidP="005E5F51">
      <w:pPr>
        <w:rPr>
          <w:rFonts w:ascii="Verdana" w:hAnsi="Verdana"/>
          <w:sz w:val="24"/>
          <w:szCs w:val="24"/>
          <w:lang w:val="en-GB"/>
        </w:rPr>
      </w:pPr>
      <w:r>
        <w:rPr>
          <w:rFonts w:ascii="Verdana" w:hAnsi="Verdana"/>
          <w:sz w:val="24"/>
          <w:szCs w:val="24"/>
        </w:rPr>
        <w:t>While the Green Paper did propos</w:t>
      </w:r>
      <w:r w:rsidR="0052328F">
        <w:rPr>
          <w:rFonts w:ascii="Verdana" w:hAnsi="Verdana"/>
          <w:sz w:val="24"/>
          <w:szCs w:val="24"/>
        </w:rPr>
        <w:t>e</w:t>
      </w:r>
      <w:r>
        <w:rPr>
          <w:rFonts w:ascii="Verdana" w:hAnsi="Verdana"/>
          <w:sz w:val="24"/>
          <w:szCs w:val="24"/>
        </w:rPr>
        <w:t xml:space="preserve"> to increase some people with disabilities’ payment rates, all </w:t>
      </w:r>
      <w:r w:rsidR="0052328F">
        <w:rPr>
          <w:rFonts w:ascii="Verdana" w:hAnsi="Verdana"/>
          <w:sz w:val="24"/>
          <w:szCs w:val="24"/>
        </w:rPr>
        <w:t>rates proposed</w:t>
      </w:r>
      <w:r>
        <w:rPr>
          <w:rFonts w:ascii="Verdana" w:hAnsi="Verdana"/>
          <w:sz w:val="24"/>
          <w:szCs w:val="24"/>
        </w:rPr>
        <w:t xml:space="preserve"> were far below the </w:t>
      </w:r>
      <w:r w:rsidRPr="00C70DC7">
        <w:rPr>
          <w:rFonts w:ascii="Verdana" w:hAnsi="Verdana"/>
          <w:sz w:val="24"/>
          <w:szCs w:val="24"/>
          <w:lang w:val="en-GB"/>
        </w:rPr>
        <w:t xml:space="preserve">the 2023 </w:t>
      </w:r>
      <w:r w:rsidRPr="00C70DC7">
        <w:rPr>
          <w:rFonts w:ascii="Verdana" w:hAnsi="Verdana"/>
          <w:sz w:val="24"/>
          <w:szCs w:val="24"/>
          <w:lang w:val="en-GB"/>
        </w:rPr>
        <w:lastRenderedPageBreak/>
        <w:t>poverty line of €317.32</w:t>
      </w:r>
      <w:r w:rsidRPr="001B57D2">
        <w:rPr>
          <w:rFonts w:ascii="Verdana" w:hAnsi="Verdana"/>
          <w:sz w:val="24"/>
          <w:szCs w:val="24"/>
          <w:lang w:val="en-GB"/>
        </w:rPr>
        <w:t>.</w:t>
      </w:r>
      <w:r w:rsidRPr="00FB0B7C">
        <w:rPr>
          <w:rStyle w:val="FootnoteReference"/>
          <w:rFonts w:ascii="Verdana" w:hAnsi="Verdana"/>
          <w:sz w:val="24"/>
          <w:szCs w:val="24"/>
          <w:lang w:val="en-GB"/>
        </w:rPr>
        <w:footnoteReference w:id="35"/>
      </w:r>
      <w:r>
        <w:rPr>
          <w:rFonts w:ascii="Verdana" w:hAnsi="Verdana"/>
          <w:sz w:val="24"/>
          <w:szCs w:val="24"/>
          <w:lang w:val="en-GB"/>
        </w:rPr>
        <w:t xml:space="preserve"> </w:t>
      </w:r>
      <w:r>
        <w:rPr>
          <w:rFonts w:ascii="Verdana" w:hAnsi="Verdana"/>
          <w:sz w:val="24"/>
          <w:szCs w:val="24"/>
        </w:rPr>
        <w:t xml:space="preserve">This poverty line, </w:t>
      </w:r>
      <w:r>
        <w:rPr>
          <w:rFonts w:ascii="Verdana" w:hAnsi="Verdana"/>
          <w:sz w:val="24"/>
          <w:szCs w:val="24"/>
          <w:lang w:val="en-GB"/>
        </w:rPr>
        <w:t xml:space="preserve">it must be remembered, </w:t>
      </w:r>
      <w:r w:rsidRPr="001B57D2">
        <w:rPr>
          <w:rFonts w:ascii="Verdana" w:hAnsi="Verdana"/>
          <w:sz w:val="24"/>
          <w:szCs w:val="24"/>
          <w:lang w:val="en-GB"/>
        </w:rPr>
        <w:t>does</w:t>
      </w:r>
      <w:r>
        <w:rPr>
          <w:rFonts w:ascii="Verdana" w:hAnsi="Verdana"/>
          <w:sz w:val="24"/>
          <w:szCs w:val="24"/>
          <w:lang w:val="en-GB"/>
        </w:rPr>
        <w:t xml:space="preserve"> no</w:t>
      </w:r>
      <w:r w:rsidRPr="001B57D2">
        <w:rPr>
          <w:rFonts w:ascii="Verdana" w:hAnsi="Verdana"/>
          <w:sz w:val="24"/>
          <w:szCs w:val="24"/>
          <w:lang w:val="en-GB"/>
        </w:rPr>
        <w:t>t factor in the extra Cost of Disability</w:t>
      </w:r>
      <w:r>
        <w:rPr>
          <w:rFonts w:ascii="Verdana" w:hAnsi="Verdana"/>
          <w:sz w:val="24"/>
          <w:szCs w:val="24"/>
          <w:lang w:val="en-GB"/>
        </w:rPr>
        <w:t>.</w:t>
      </w:r>
      <w:r w:rsidRPr="00FB0B7C">
        <w:rPr>
          <w:rFonts w:ascii="Verdana" w:hAnsi="Verdana"/>
          <w:sz w:val="24"/>
          <w:szCs w:val="24"/>
          <w:lang w:val="en-GB"/>
        </w:rPr>
        <w:t xml:space="preserve"> </w:t>
      </w:r>
      <w:r w:rsidRPr="00782403">
        <w:rPr>
          <w:rFonts w:ascii="Verdana" w:hAnsi="Verdana"/>
          <w:b/>
          <w:bCs/>
          <w:sz w:val="24"/>
          <w:szCs w:val="24"/>
        </w:rPr>
        <w:t xml:space="preserve">It was particularly </w:t>
      </w:r>
      <w:r w:rsidRPr="00782403">
        <w:rPr>
          <w:rFonts w:ascii="Verdana" w:hAnsi="Verdana"/>
          <w:b/>
          <w:bCs/>
          <w:sz w:val="24"/>
          <w:szCs w:val="24"/>
          <w:lang w:val="en-GB"/>
        </w:rPr>
        <w:t xml:space="preserve">concerning that even the highest ‘Level 1’ payment rate mooted was </w:t>
      </w:r>
      <w:r w:rsidRPr="00782403">
        <w:rPr>
          <w:rFonts w:ascii="Verdana" w:hAnsi="Verdana" w:cstheme="minorHAnsi"/>
          <w:b/>
          <w:bCs/>
          <w:sz w:val="24"/>
          <w:szCs w:val="24"/>
        </w:rPr>
        <w:t xml:space="preserve">deeply </w:t>
      </w:r>
      <w:r w:rsidRPr="00782403">
        <w:rPr>
          <w:rFonts w:ascii="Verdana" w:hAnsi="Verdana"/>
          <w:b/>
          <w:bCs/>
          <w:sz w:val="24"/>
          <w:szCs w:val="24"/>
          <w:lang w:val="en-GB"/>
        </w:rPr>
        <w:t>inadequate. The proposed highest rate</w:t>
      </w:r>
      <w:r w:rsidR="00BF3941" w:rsidRPr="00782403">
        <w:rPr>
          <w:rFonts w:ascii="Verdana" w:hAnsi="Verdana"/>
          <w:b/>
          <w:bCs/>
          <w:sz w:val="24"/>
          <w:szCs w:val="24"/>
          <w:lang w:val="en-GB"/>
        </w:rPr>
        <w:t xml:space="preserve">, </w:t>
      </w:r>
      <w:r w:rsidRPr="00782403">
        <w:rPr>
          <w:rFonts w:ascii="Verdana" w:hAnsi="Verdana"/>
          <w:b/>
          <w:bCs/>
          <w:sz w:val="24"/>
          <w:szCs w:val="24"/>
          <w:lang w:val="en-GB"/>
        </w:rPr>
        <w:t>€277.30</w:t>
      </w:r>
      <w:r w:rsidR="00BF3941" w:rsidRPr="00782403">
        <w:rPr>
          <w:rFonts w:ascii="Verdana" w:hAnsi="Verdana"/>
          <w:b/>
          <w:bCs/>
          <w:sz w:val="24"/>
          <w:szCs w:val="24"/>
          <w:lang w:val="en-GB"/>
        </w:rPr>
        <w:t>,</w:t>
      </w:r>
      <w:r w:rsidRPr="00782403">
        <w:rPr>
          <w:rFonts w:ascii="Verdana" w:hAnsi="Verdana"/>
          <w:b/>
          <w:bCs/>
          <w:sz w:val="24"/>
          <w:szCs w:val="24"/>
          <w:lang w:val="en-GB"/>
        </w:rPr>
        <w:t xml:space="preserve"> was</w:t>
      </w:r>
      <w:r w:rsidR="00760E97" w:rsidRPr="00782403">
        <w:rPr>
          <w:rFonts w:ascii="Verdana" w:hAnsi="Verdana"/>
          <w:b/>
          <w:bCs/>
          <w:sz w:val="24"/>
          <w:szCs w:val="24"/>
          <w:lang w:val="en-GB"/>
        </w:rPr>
        <w:t xml:space="preserve"> still</w:t>
      </w:r>
      <w:r w:rsidRPr="00782403">
        <w:rPr>
          <w:rFonts w:ascii="Verdana" w:hAnsi="Verdana"/>
          <w:b/>
          <w:bCs/>
          <w:sz w:val="24"/>
          <w:szCs w:val="24"/>
          <w:lang w:val="en-GB"/>
        </w:rPr>
        <w:t xml:space="preserve"> €40 below the poverty line</w:t>
      </w:r>
      <w:r w:rsidR="00242FED">
        <w:rPr>
          <w:rFonts w:ascii="Verdana" w:hAnsi="Verdana"/>
          <w:sz w:val="24"/>
          <w:szCs w:val="24"/>
          <w:lang w:val="en-GB"/>
        </w:rPr>
        <w:t>.</w:t>
      </w:r>
    </w:p>
    <w:p w14:paraId="3F709AF2" w14:textId="3399203B" w:rsidR="00ED426D" w:rsidRPr="00F5696B" w:rsidRDefault="00ED426D" w:rsidP="00F5696B">
      <w:pPr>
        <w:pStyle w:val="Heading1"/>
        <w:rPr>
          <w:sz w:val="24"/>
          <w:szCs w:val="24"/>
          <w:lang w:val="en-GB"/>
        </w:rPr>
      </w:pPr>
      <w:bookmarkStart w:id="13" w:name="_Toc171069205"/>
      <w:r w:rsidRPr="00F5696B">
        <w:rPr>
          <w:sz w:val="24"/>
          <w:szCs w:val="24"/>
          <w:lang w:val="en-GB"/>
        </w:rPr>
        <w:t xml:space="preserve">Disability is </w:t>
      </w:r>
      <w:r w:rsidR="00212B00" w:rsidRPr="00F5696B">
        <w:rPr>
          <w:sz w:val="24"/>
          <w:szCs w:val="24"/>
          <w:lang w:val="en-GB"/>
        </w:rPr>
        <w:t>N</w:t>
      </w:r>
      <w:r w:rsidRPr="00F5696B">
        <w:rPr>
          <w:sz w:val="24"/>
          <w:szCs w:val="24"/>
          <w:lang w:val="en-GB"/>
        </w:rPr>
        <w:t xml:space="preserve">ot a </w:t>
      </w:r>
      <w:r w:rsidR="00212B00" w:rsidRPr="00F5696B">
        <w:rPr>
          <w:sz w:val="24"/>
          <w:szCs w:val="24"/>
          <w:lang w:val="en-GB"/>
        </w:rPr>
        <w:t>O</w:t>
      </w:r>
      <w:r w:rsidRPr="00F5696B">
        <w:rPr>
          <w:sz w:val="24"/>
          <w:szCs w:val="24"/>
          <w:lang w:val="en-GB"/>
        </w:rPr>
        <w:t>ne-</w:t>
      </w:r>
      <w:r w:rsidR="00212B00" w:rsidRPr="00F5696B">
        <w:rPr>
          <w:sz w:val="24"/>
          <w:szCs w:val="24"/>
          <w:lang w:val="en-GB"/>
        </w:rPr>
        <w:t>O</w:t>
      </w:r>
      <w:r w:rsidRPr="00F5696B">
        <w:rPr>
          <w:sz w:val="24"/>
          <w:szCs w:val="24"/>
          <w:lang w:val="en-GB"/>
        </w:rPr>
        <w:t xml:space="preserve">ff, </w:t>
      </w:r>
      <w:proofErr w:type="gramStart"/>
      <w:r w:rsidR="00212B00" w:rsidRPr="00F5696B">
        <w:rPr>
          <w:sz w:val="24"/>
          <w:szCs w:val="24"/>
          <w:lang w:val="en-GB"/>
        </w:rPr>
        <w:t>N</w:t>
      </w:r>
      <w:r w:rsidRPr="00F5696B">
        <w:rPr>
          <w:sz w:val="24"/>
          <w:szCs w:val="24"/>
          <w:lang w:val="en-GB"/>
        </w:rPr>
        <w:t>or</w:t>
      </w:r>
      <w:proofErr w:type="gramEnd"/>
      <w:r w:rsidRPr="00F5696B">
        <w:rPr>
          <w:sz w:val="24"/>
          <w:szCs w:val="24"/>
          <w:lang w:val="en-GB"/>
        </w:rPr>
        <w:t xml:space="preserve"> is </w:t>
      </w:r>
      <w:r w:rsidR="00212B00" w:rsidRPr="00F5696B">
        <w:rPr>
          <w:sz w:val="24"/>
          <w:szCs w:val="24"/>
          <w:lang w:val="en-GB"/>
        </w:rPr>
        <w:t>P</w:t>
      </w:r>
      <w:r w:rsidRPr="00F5696B">
        <w:rPr>
          <w:sz w:val="24"/>
          <w:szCs w:val="24"/>
          <w:lang w:val="en-GB"/>
        </w:rPr>
        <w:t>overty</w:t>
      </w:r>
      <w:bookmarkEnd w:id="13"/>
    </w:p>
    <w:p w14:paraId="60D7F9DA" w14:textId="160D39F7" w:rsidR="004320D8" w:rsidRDefault="00160761" w:rsidP="008D1EDF">
      <w:pPr>
        <w:rPr>
          <w:rFonts w:ascii="Verdana" w:hAnsi="Verdana"/>
          <w:sz w:val="24"/>
          <w:szCs w:val="24"/>
        </w:rPr>
      </w:pPr>
      <w:r>
        <w:rPr>
          <w:rFonts w:ascii="Verdana" w:hAnsi="Verdana"/>
          <w:sz w:val="24"/>
          <w:szCs w:val="24"/>
        </w:rPr>
        <w:t>L</w:t>
      </w:r>
      <w:r w:rsidR="009B23FB">
        <w:rPr>
          <w:rFonts w:ascii="Verdana" w:hAnsi="Verdana"/>
          <w:sz w:val="24"/>
          <w:szCs w:val="24"/>
        </w:rPr>
        <w:t xml:space="preserve">ast year’s Budget </w:t>
      </w:r>
      <w:r w:rsidR="00576B9C">
        <w:rPr>
          <w:rFonts w:ascii="Verdana" w:hAnsi="Verdana"/>
          <w:sz w:val="24"/>
          <w:szCs w:val="24"/>
        </w:rPr>
        <w:t>delivered</w:t>
      </w:r>
      <w:r w:rsidR="009B23FB">
        <w:rPr>
          <w:rFonts w:ascii="Verdana" w:hAnsi="Verdana"/>
          <w:sz w:val="24"/>
          <w:szCs w:val="24"/>
        </w:rPr>
        <w:t xml:space="preserve"> one-off supports</w:t>
      </w:r>
      <w:r w:rsidR="009B23FB" w:rsidRPr="006D1E6F">
        <w:rPr>
          <w:rFonts w:ascii="Verdana" w:hAnsi="Verdana"/>
          <w:sz w:val="24"/>
          <w:szCs w:val="24"/>
        </w:rPr>
        <w:t xml:space="preserve"> to address cost of living,</w:t>
      </w:r>
      <w:r>
        <w:rPr>
          <w:rFonts w:ascii="Verdana" w:hAnsi="Verdana"/>
          <w:sz w:val="24"/>
          <w:szCs w:val="24"/>
        </w:rPr>
        <w:t xml:space="preserve"> and these </w:t>
      </w:r>
      <w:r w:rsidR="000450CE">
        <w:rPr>
          <w:rFonts w:ascii="Verdana" w:hAnsi="Verdana"/>
          <w:sz w:val="24"/>
          <w:szCs w:val="24"/>
        </w:rPr>
        <w:t>did insulate people temporarily from worsening poverty, as the evidence show</w:t>
      </w:r>
      <w:r>
        <w:rPr>
          <w:rFonts w:ascii="Verdana" w:hAnsi="Verdana"/>
          <w:sz w:val="24"/>
          <w:szCs w:val="24"/>
        </w:rPr>
        <w:t xml:space="preserve">. </w:t>
      </w:r>
      <w:proofErr w:type="gramStart"/>
      <w:r>
        <w:rPr>
          <w:rFonts w:ascii="Verdana" w:hAnsi="Verdana"/>
          <w:sz w:val="24"/>
          <w:szCs w:val="24"/>
        </w:rPr>
        <w:t>However</w:t>
      </w:r>
      <w:proofErr w:type="gramEnd"/>
      <w:r>
        <w:rPr>
          <w:rFonts w:ascii="Verdana" w:hAnsi="Verdana"/>
          <w:sz w:val="24"/>
          <w:szCs w:val="24"/>
        </w:rPr>
        <w:t xml:space="preserve"> they gave no </w:t>
      </w:r>
      <w:r w:rsidR="008D1EDF">
        <w:rPr>
          <w:rFonts w:ascii="Verdana" w:hAnsi="Verdana"/>
          <w:sz w:val="24"/>
          <w:szCs w:val="24"/>
        </w:rPr>
        <w:t xml:space="preserve">stability or </w:t>
      </w:r>
      <w:r w:rsidR="00B96502">
        <w:rPr>
          <w:rFonts w:ascii="Verdana" w:hAnsi="Verdana"/>
          <w:sz w:val="24"/>
          <w:szCs w:val="24"/>
        </w:rPr>
        <w:t>certainty</w:t>
      </w:r>
      <w:r>
        <w:rPr>
          <w:rFonts w:ascii="Verdana" w:hAnsi="Verdana"/>
          <w:sz w:val="24"/>
          <w:szCs w:val="24"/>
        </w:rPr>
        <w:t xml:space="preserve"> to disabled people regarding their income</w:t>
      </w:r>
      <w:r w:rsidR="008D1EDF">
        <w:rPr>
          <w:rFonts w:ascii="Verdana" w:hAnsi="Verdana"/>
          <w:sz w:val="24"/>
          <w:szCs w:val="24"/>
        </w:rPr>
        <w:t xml:space="preserve"> into the future</w:t>
      </w:r>
      <w:r w:rsidR="004320D8">
        <w:rPr>
          <w:rFonts w:ascii="Verdana" w:hAnsi="Verdana"/>
          <w:sz w:val="24"/>
          <w:szCs w:val="24"/>
        </w:rPr>
        <w:t>. Once the one-off measures were gone,</w:t>
      </w:r>
      <w:r>
        <w:rPr>
          <w:rFonts w:ascii="Verdana" w:hAnsi="Verdana"/>
          <w:sz w:val="24"/>
          <w:szCs w:val="24"/>
        </w:rPr>
        <w:t xml:space="preserve"> </w:t>
      </w:r>
      <w:proofErr w:type="gramStart"/>
      <w:r>
        <w:rPr>
          <w:rFonts w:ascii="Verdana" w:hAnsi="Verdana"/>
          <w:sz w:val="24"/>
          <w:szCs w:val="24"/>
        </w:rPr>
        <w:t>ultimately</w:t>
      </w:r>
      <w:proofErr w:type="gramEnd"/>
      <w:r>
        <w:rPr>
          <w:rFonts w:ascii="Verdana" w:hAnsi="Verdana"/>
          <w:sz w:val="24"/>
          <w:szCs w:val="24"/>
        </w:rPr>
        <w:t xml:space="preserve"> they were left with a core income that was inadequate to meet all their basic needs and live a dignified life. </w:t>
      </w:r>
    </w:p>
    <w:p w14:paraId="4028873C" w14:textId="0A0685B3" w:rsidR="00160761" w:rsidRPr="004A7BCE" w:rsidRDefault="004320D8" w:rsidP="009B23FB">
      <w:pPr>
        <w:rPr>
          <w:rFonts w:ascii="Verdana" w:hAnsi="Verdana"/>
          <w:iCs/>
          <w:sz w:val="24"/>
          <w:szCs w:val="24"/>
        </w:rPr>
      </w:pPr>
      <w:r>
        <w:rPr>
          <w:rFonts w:ascii="Verdana" w:hAnsi="Verdana"/>
          <w:sz w:val="24"/>
          <w:szCs w:val="24"/>
        </w:rPr>
        <w:t xml:space="preserve">As the ESRI </w:t>
      </w:r>
      <w:r w:rsidR="008E78BC">
        <w:rPr>
          <w:rFonts w:ascii="Verdana" w:hAnsi="Verdana"/>
          <w:sz w:val="24"/>
          <w:szCs w:val="24"/>
        </w:rPr>
        <w:t>observed</w:t>
      </w:r>
      <w:r>
        <w:rPr>
          <w:rFonts w:ascii="Verdana" w:hAnsi="Verdana"/>
          <w:sz w:val="24"/>
          <w:szCs w:val="24"/>
        </w:rPr>
        <w:t>,</w:t>
      </w:r>
      <w:r w:rsidR="00160761">
        <w:rPr>
          <w:rFonts w:ascii="Verdana" w:hAnsi="Verdana"/>
          <w:sz w:val="24"/>
          <w:szCs w:val="24"/>
        </w:rPr>
        <w:t xml:space="preserve"> </w:t>
      </w:r>
      <w:r>
        <w:rPr>
          <w:rFonts w:ascii="Verdana" w:hAnsi="Verdana"/>
          <w:sz w:val="24"/>
          <w:szCs w:val="24"/>
        </w:rPr>
        <w:t>the t</w:t>
      </w:r>
      <w:r w:rsidR="008D1EDF">
        <w:rPr>
          <w:rFonts w:ascii="Verdana" w:hAnsi="Verdana"/>
          <w:sz w:val="24"/>
          <w:szCs w:val="24"/>
        </w:rPr>
        <w:t xml:space="preserve">ax </w:t>
      </w:r>
      <w:r>
        <w:rPr>
          <w:rFonts w:ascii="Verdana" w:hAnsi="Verdana"/>
          <w:sz w:val="24"/>
          <w:szCs w:val="24"/>
        </w:rPr>
        <w:t>adjustment</w:t>
      </w:r>
      <w:r w:rsidR="008E78BC">
        <w:rPr>
          <w:rFonts w:ascii="Verdana" w:hAnsi="Verdana"/>
          <w:sz w:val="24"/>
          <w:szCs w:val="24"/>
        </w:rPr>
        <w:t>s</w:t>
      </w:r>
      <w:r w:rsidR="008D1EDF">
        <w:rPr>
          <w:rFonts w:ascii="Verdana" w:hAnsi="Verdana"/>
          <w:sz w:val="24"/>
          <w:szCs w:val="24"/>
        </w:rPr>
        <w:t xml:space="preserve"> </w:t>
      </w:r>
      <w:r w:rsidR="004824D7">
        <w:rPr>
          <w:rFonts w:ascii="Verdana" w:hAnsi="Verdana"/>
          <w:sz w:val="24"/>
          <w:szCs w:val="24"/>
        </w:rPr>
        <w:t>brought in in Budget 2024 ar</w:t>
      </w:r>
      <w:r w:rsidR="008D1EDF">
        <w:rPr>
          <w:rFonts w:ascii="Verdana" w:hAnsi="Verdana"/>
          <w:sz w:val="24"/>
          <w:szCs w:val="24"/>
        </w:rPr>
        <w:t>e permanent</w:t>
      </w:r>
      <w:r>
        <w:rPr>
          <w:rFonts w:ascii="Verdana" w:hAnsi="Verdana"/>
          <w:sz w:val="24"/>
          <w:szCs w:val="24"/>
        </w:rPr>
        <w:t>, whereas the one-off cost of living supports are not.</w:t>
      </w:r>
      <w:r w:rsidR="00006EEC">
        <w:rPr>
          <w:rFonts w:ascii="Verdana" w:hAnsi="Verdana"/>
          <w:sz w:val="24"/>
          <w:szCs w:val="24"/>
        </w:rPr>
        <w:t xml:space="preserve"> </w:t>
      </w:r>
      <w:r w:rsidR="00006EEC">
        <w:rPr>
          <w:rFonts w:ascii="Verdana" w:hAnsi="Verdana"/>
          <w:iCs/>
          <w:sz w:val="24"/>
          <w:szCs w:val="24"/>
        </w:rPr>
        <w:t>The</w:t>
      </w:r>
      <w:r w:rsidR="00517447">
        <w:rPr>
          <w:rFonts w:ascii="Verdana" w:hAnsi="Verdana"/>
          <w:iCs/>
          <w:sz w:val="24"/>
          <w:szCs w:val="24"/>
        </w:rPr>
        <w:t>ir</w:t>
      </w:r>
      <w:r w:rsidR="00006EEC">
        <w:rPr>
          <w:rFonts w:ascii="Verdana" w:hAnsi="Verdana"/>
          <w:iCs/>
          <w:sz w:val="24"/>
          <w:szCs w:val="24"/>
        </w:rPr>
        <w:t xml:space="preserve"> </w:t>
      </w:r>
      <w:hyperlink r:id="rId14" w:history="1">
        <w:r w:rsidR="00006EEC" w:rsidRPr="00867394">
          <w:rPr>
            <w:rStyle w:val="Hyperlink"/>
            <w:rFonts w:ascii="Verdana" w:hAnsi="Verdana"/>
            <w:iCs/>
            <w:sz w:val="24"/>
            <w:szCs w:val="24"/>
          </w:rPr>
          <w:t xml:space="preserve"> Budget Analysis</w:t>
        </w:r>
      </w:hyperlink>
      <w:r w:rsidR="00006EEC">
        <w:rPr>
          <w:rFonts w:ascii="Verdana" w:hAnsi="Verdana"/>
          <w:iCs/>
          <w:sz w:val="24"/>
          <w:szCs w:val="24"/>
        </w:rPr>
        <w:t xml:space="preserve"> showed that disabled people w</w:t>
      </w:r>
      <w:r w:rsidR="005E33B2">
        <w:rPr>
          <w:rFonts w:ascii="Verdana" w:hAnsi="Verdana"/>
          <w:iCs/>
          <w:sz w:val="24"/>
          <w:szCs w:val="24"/>
        </w:rPr>
        <w:t>ould</w:t>
      </w:r>
      <w:r w:rsidR="00006EEC">
        <w:rPr>
          <w:rFonts w:ascii="Verdana" w:hAnsi="Verdana"/>
          <w:iCs/>
          <w:sz w:val="24"/>
          <w:szCs w:val="24"/>
        </w:rPr>
        <w:t xml:space="preserve"> remain the group most at risk of poverty in 2024, and that </w:t>
      </w:r>
      <w:r w:rsidR="00BB1549" w:rsidRPr="00F84184">
        <w:rPr>
          <w:rFonts w:ascii="Verdana" w:hAnsi="Verdana"/>
          <w:b/>
          <w:bCs/>
          <w:iCs/>
          <w:sz w:val="24"/>
          <w:szCs w:val="24"/>
        </w:rPr>
        <w:t xml:space="preserve">if we considered permanent measures only </w:t>
      </w:r>
      <w:r w:rsidR="00006EEC" w:rsidRPr="00F84184">
        <w:rPr>
          <w:rFonts w:ascii="Verdana" w:hAnsi="Verdana"/>
          <w:b/>
          <w:bCs/>
          <w:iCs/>
          <w:sz w:val="24"/>
          <w:szCs w:val="24"/>
        </w:rPr>
        <w:t>there w</w:t>
      </w:r>
      <w:r w:rsidR="005E33B2" w:rsidRPr="00F84184">
        <w:rPr>
          <w:rFonts w:ascii="Verdana" w:hAnsi="Verdana"/>
          <w:b/>
          <w:bCs/>
          <w:iCs/>
          <w:sz w:val="24"/>
          <w:szCs w:val="24"/>
        </w:rPr>
        <w:t>ould</w:t>
      </w:r>
      <w:r w:rsidR="00006EEC" w:rsidRPr="00F84184">
        <w:rPr>
          <w:rFonts w:ascii="Verdana" w:hAnsi="Verdana"/>
          <w:b/>
          <w:bCs/>
          <w:iCs/>
          <w:sz w:val="24"/>
          <w:szCs w:val="24"/>
        </w:rPr>
        <w:t xml:space="preserve"> actually be a small increase in the ‘at risk of poverty’ rate for people with disabilities</w:t>
      </w:r>
      <w:r w:rsidR="00006EEC">
        <w:rPr>
          <w:rFonts w:ascii="Verdana" w:hAnsi="Verdana"/>
          <w:iCs/>
          <w:sz w:val="24"/>
          <w:szCs w:val="24"/>
        </w:rPr>
        <w:t xml:space="preserve">. It also shows that gains for disabled people in Budget 2024 </w:t>
      </w:r>
      <w:r w:rsidR="004A7BCE">
        <w:rPr>
          <w:rFonts w:ascii="Verdana" w:hAnsi="Verdana"/>
          <w:iCs/>
          <w:sz w:val="24"/>
          <w:szCs w:val="24"/>
        </w:rPr>
        <w:t>we</w:t>
      </w:r>
      <w:r w:rsidR="00006EEC">
        <w:rPr>
          <w:rFonts w:ascii="Verdana" w:hAnsi="Verdana"/>
          <w:iCs/>
          <w:sz w:val="24"/>
          <w:szCs w:val="24"/>
        </w:rPr>
        <w:t xml:space="preserve">re only due to the </w:t>
      </w:r>
      <w:r w:rsidR="00C40E94">
        <w:rPr>
          <w:rFonts w:ascii="Verdana" w:hAnsi="Verdana"/>
          <w:iCs/>
          <w:sz w:val="24"/>
          <w:szCs w:val="24"/>
        </w:rPr>
        <w:t>one-off</w:t>
      </w:r>
      <w:r w:rsidR="00006EEC">
        <w:rPr>
          <w:rFonts w:ascii="Verdana" w:hAnsi="Verdana"/>
          <w:iCs/>
          <w:sz w:val="24"/>
          <w:szCs w:val="24"/>
        </w:rPr>
        <w:t xml:space="preserve"> measures, while there </w:t>
      </w:r>
      <w:r w:rsidR="00C40E94">
        <w:rPr>
          <w:rFonts w:ascii="Verdana" w:hAnsi="Verdana"/>
          <w:iCs/>
          <w:sz w:val="24"/>
          <w:szCs w:val="24"/>
        </w:rPr>
        <w:t>we</w:t>
      </w:r>
      <w:r w:rsidR="00006EEC">
        <w:rPr>
          <w:rFonts w:ascii="Verdana" w:hAnsi="Verdana"/>
          <w:iCs/>
          <w:sz w:val="24"/>
          <w:szCs w:val="24"/>
        </w:rPr>
        <w:t>re less gains for those with a disability from permanent tax and welfare changes</w:t>
      </w:r>
      <w:r w:rsidR="003E72DE">
        <w:rPr>
          <w:rFonts w:ascii="Verdana" w:hAnsi="Verdana"/>
          <w:iCs/>
          <w:sz w:val="24"/>
          <w:szCs w:val="24"/>
        </w:rPr>
        <w:t>,</w:t>
      </w:r>
      <w:r w:rsidR="00006EEC">
        <w:rPr>
          <w:rFonts w:ascii="Verdana" w:hAnsi="Verdana"/>
          <w:iCs/>
          <w:sz w:val="24"/>
          <w:szCs w:val="24"/>
        </w:rPr>
        <w:t xml:space="preserve"> as compared to those who are not disabled. This is alarming given the much higher poverty rates of people with disabilities.  </w:t>
      </w:r>
    </w:p>
    <w:p w14:paraId="3E79E1A1" w14:textId="6905AFF5" w:rsidR="00791F33" w:rsidRPr="00F5696B" w:rsidRDefault="00791F33" w:rsidP="00F5696B">
      <w:pPr>
        <w:pStyle w:val="Heading2"/>
        <w:rPr>
          <w:rFonts w:ascii="Verdana" w:hAnsi="Verdana"/>
          <w:sz w:val="24"/>
          <w:szCs w:val="24"/>
          <w:lang w:val="en-GB"/>
        </w:rPr>
      </w:pPr>
      <w:bookmarkStart w:id="14" w:name="_Toc171069206"/>
      <w:r w:rsidRPr="00F5696B">
        <w:rPr>
          <w:rFonts w:ascii="Verdana" w:hAnsi="Verdana"/>
          <w:sz w:val="24"/>
          <w:szCs w:val="24"/>
          <w:lang w:val="en-GB"/>
        </w:rPr>
        <w:t>Disability Support Grant</w:t>
      </w:r>
      <w:bookmarkEnd w:id="14"/>
    </w:p>
    <w:p w14:paraId="0C703C7E" w14:textId="3E2987B9" w:rsidR="00791F33" w:rsidRDefault="003B143F" w:rsidP="00CA568E">
      <w:pPr>
        <w:rPr>
          <w:rFonts w:ascii="Verdana" w:hAnsi="Verdana"/>
          <w:sz w:val="24"/>
          <w:szCs w:val="24"/>
        </w:rPr>
      </w:pPr>
      <w:r>
        <w:rPr>
          <w:rFonts w:ascii="Verdana" w:hAnsi="Verdana" w:cstheme="minorHAnsi"/>
          <w:sz w:val="24"/>
          <w:szCs w:val="24"/>
        </w:rPr>
        <w:t xml:space="preserve">One welcome small step forward in the past two Budgets has been the </w:t>
      </w:r>
      <w:r w:rsidR="006B2D27">
        <w:rPr>
          <w:rFonts w:ascii="Verdana" w:hAnsi="Verdana"/>
          <w:sz w:val="24"/>
          <w:szCs w:val="24"/>
          <w:lang w:val="en-GB"/>
        </w:rPr>
        <w:t xml:space="preserve">acknowledgement of disability-related costs through the </w:t>
      </w:r>
      <w:r w:rsidR="006B2D27" w:rsidRPr="006579EE">
        <w:rPr>
          <w:rFonts w:ascii="Verdana" w:hAnsi="Verdana"/>
          <w:i/>
          <w:iCs/>
          <w:sz w:val="24"/>
          <w:szCs w:val="24"/>
          <w:lang w:val="en-GB"/>
        </w:rPr>
        <w:t>Disability Support Grant</w:t>
      </w:r>
      <w:r w:rsidR="006B2D27">
        <w:rPr>
          <w:rFonts w:ascii="Verdana" w:hAnsi="Verdana" w:cstheme="minorHAnsi"/>
          <w:sz w:val="24"/>
          <w:szCs w:val="24"/>
        </w:rPr>
        <w:t xml:space="preserve">. </w:t>
      </w:r>
      <w:r w:rsidR="00CA568E" w:rsidRPr="2E44AF1A">
        <w:rPr>
          <w:rFonts w:ascii="Verdana" w:hAnsi="Verdana"/>
          <w:sz w:val="24"/>
          <w:szCs w:val="24"/>
        </w:rPr>
        <w:t xml:space="preserve">Budget 2023 </w:t>
      </w:r>
      <w:r w:rsidR="00CA568E">
        <w:rPr>
          <w:rFonts w:ascii="Verdana" w:hAnsi="Verdana"/>
          <w:sz w:val="24"/>
          <w:szCs w:val="24"/>
        </w:rPr>
        <w:t xml:space="preserve">for the first time </w:t>
      </w:r>
      <w:r w:rsidR="00CA568E" w:rsidRPr="2E44AF1A">
        <w:rPr>
          <w:rFonts w:ascii="Verdana" w:hAnsi="Verdana"/>
          <w:sz w:val="24"/>
          <w:szCs w:val="24"/>
        </w:rPr>
        <w:t>acknowledge</w:t>
      </w:r>
      <w:r w:rsidR="00CA568E">
        <w:rPr>
          <w:rFonts w:ascii="Verdana" w:hAnsi="Verdana"/>
          <w:sz w:val="24"/>
          <w:szCs w:val="24"/>
        </w:rPr>
        <w:t xml:space="preserve">d the extra Cost of Disability. Minister McGrath, in his speech, said “it is important that we acknowledge that persons living with a disability face additional costs. In this regard, a once-off payment of €500 to those who qualify for Disability Allowance, Invalidity Pension and the Blind Pension will be made.” </w:t>
      </w:r>
      <w:r w:rsidR="00CA568E" w:rsidRPr="005F1C54">
        <w:rPr>
          <w:rFonts w:ascii="Verdana" w:hAnsi="Verdana"/>
          <w:b/>
          <w:bCs/>
          <w:sz w:val="24"/>
          <w:szCs w:val="24"/>
        </w:rPr>
        <w:t>This was welcomed by many disabled people as an important symbolic step forward, although it was clearly insufficient to address Cost of Disability with a one-off payment</w:t>
      </w:r>
      <w:r w:rsidR="00CA568E">
        <w:rPr>
          <w:rFonts w:ascii="Verdana" w:hAnsi="Verdana"/>
          <w:sz w:val="24"/>
          <w:szCs w:val="24"/>
        </w:rPr>
        <w:t xml:space="preserve">. </w:t>
      </w:r>
    </w:p>
    <w:p w14:paraId="02297803" w14:textId="557C5985" w:rsidR="00CA568E" w:rsidRPr="004421E6" w:rsidRDefault="00CA568E" w:rsidP="004421E6">
      <w:pPr>
        <w:rPr>
          <w:rFonts w:ascii="Verdana" w:hAnsi="Verdana"/>
          <w:sz w:val="24"/>
          <w:szCs w:val="24"/>
        </w:rPr>
      </w:pPr>
      <w:r>
        <w:rPr>
          <w:rFonts w:ascii="Verdana" w:hAnsi="Verdana"/>
          <w:sz w:val="24"/>
          <w:szCs w:val="24"/>
        </w:rPr>
        <w:t>D</w:t>
      </w:r>
      <w:r w:rsidRPr="2E44AF1A">
        <w:rPr>
          <w:rFonts w:ascii="Verdana" w:hAnsi="Verdana"/>
          <w:sz w:val="24"/>
          <w:szCs w:val="24"/>
        </w:rPr>
        <w:t>isappoint</w:t>
      </w:r>
      <w:r>
        <w:rPr>
          <w:rFonts w:ascii="Verdana" w:hAnsi="Verdana"/>
          <w:sz w:val="24"/>
          <w:szCs w:val="24"/>
        </w:rPr>
        <w:t>ingly</w:t>
      </w:r>
      <w:r w:rsidRPr="2E44AF1A">
        <w:rPr>
          <w:rFonts w:ascii="Verdana" w:hAnsi="Verdana"/>
          <w:sz w:val="24"/>
          <w:szCs w:val="24"/>
        </w:rPr>
        <w:t xml:space="preserve"> there was no </w:t>
      </w:r>
      <w:r>
        <w:rPr>
          <w:rFonts w:ascii="Verdana" w:hAnsi="Verdana"/>
          <w:sz w:val="24"/>
          <w:szCs w:val="24"/>
        </w:rPr>
        <w:t xml:space="preserve">such </w:t>
      </w:r>
      <w:r w:rsidRPr="2E44AF1A">
        <w:rPr>
          <w:rFonts w:ascii="Verdana" w:hAnsi="Verdana"/>
          <w:sz w:val="24"/>
          <w:szCs w:val="24"/>
        </w:rPr>
        <w:t>acknowledgement in Budget 2024 speeches</w:t>
      </w:r>
      <w:r>
        <w:rPr>
          <w:rFonts w:ascii="Verdana" w:hAnsi="Verdana"/>
          <w:sz w:val="24"/>
          <w:szCs w:val="24"/>
        </w:rPr>
        <w:t xml:space="preserve">, and the </w:t>
      </w:r>
      <w:r w:rsidRPr="2E44AF1A">
        <w:rPr>
          <w:rFonts w:ascii="Verdana" w:hAnsi="Verdana"/>
          <w:sz w:val="24"/>
          <w:szCs w:val="24"/>
        </w:rPr>
        <w:t xml:space="preserve">one-off lump sum was </w:t>
      </w:r>
      <w:r w:rsidR="004421E6">
        <w:rPr>
          <w:rFonts w:ascii="Verdana" w:hAnsi="Verdana"/>
          <w:sz w:val="24"/>
          <w:szCs w:val="24"/>
        </w:rPr>
        <w:t>reduced to</w:t>
      </w:r>
      <w:r w:rsidRPr="2E44AF1A">
        <w:rPr>
          <w:rFonts w:ascii="Verdana" w:hAnsi="Verdana"/>
          <w:sz w:val="24"/>
          <w:szCs w:val="24"/>
        </w:rPr>
        <w:t xml:space="preserve"> €400. This </w:t>
      </w:r>
      <w:r>
        <w:rPr>
          <w:rFonts w:ascii="Verdana" w:hAnsi="Verdana"/>
          <w:sz w:val="24"/>
          <w:szCs w:val="24"/>
        </w:rPr>
        <w:t>was</w:t>
      </w:r>
      <w:r w:rsidRPr="2E44AF1A">
        <w:rPr>
          <w:rFonts w:ascii="Verdana" w:hAnsi="Verdana"/>
          <w:sz w:val="24"/>
          <w:szCs w:val="24"/>
        </w:rPr>
        <w:t xml:space="preserve"> a 20% reduction on </w:t>
      </w:r>
      <w:r>
        <w:rPr>
          <w:rFonts w:ascii="Verdana" w:hAnsi="Verdana"/>
          <w:sz w:val="24"/>
          <w:szCs w:val="24"/>
        </w:rPr>
        <w:t>the previous year</w:t>
      </w:r>
      <w:r w:rsidRPr="2E44AF1A">
        <w:rPr>
          <w:rFonts w:ascii="Verdana" w:hAnsi="Verdana"/>
          <w:sz w:val="24"/>
          <w:szCs w:val="24"/>
        </w:rPr>
        <w:t>, despite the extra Cost of Disability</w:t>
      </w:r>
      <w:r w:rsidR="0058247E">
        <w:rPr>
          <w:rFonts w:ascii="Verdana" w:hAnsi="Verdana"/>
          <w:sz w:val="24"/>
          <w:szCs w:val="24"/>
        </w:rPr>
        <w:t xml:space="preserve"> actually</w:t>
      </w:r>
      <w:r w:rsidRPr="2E44AF1A">
        <w:rPr>
          <w:rFonts w:ascii="Verdana" w:hAnsi="Verdana"/>
          <w:sz w:val="24"/>
          <w:szCs w:val="24"/>
        </w:rPr>
        <w:t xml:space="preserve"> increasing </w:t>
      </w:r>
      <w:r>
        <w:rPr>
          <w:rFonts w:ascii="Verdana" w:hAnsi="Verdana"/>
          <w:sz w:val="24"/>
          <w:szCs w:val="24"/>
        </w:rPr>
        <w:t>over the period</w:t>
      </w:r>
      <w:r w:rsidRPr="2E44AF1A">
        <w:rPr>
          <w:rFonts w:ascii="Verdana" w:hAnsi="Verdana"/>
          <w:sz w:val="24"/>
          <w:szCs w:val="24"/>
        </w:rPr>
        <w:t>.</w:t>
      </w:r>
      <w:r>
        <w:rPr>
          <w:rFonts w:ascii="Verdana" w:hAnsi="Verdana"/>
          <w:sz w:val="24"/>
          <w:szCs w:val="24"/>
        </w:rPr>
        <w:t xml:space="preserve"> Nevertheless, the </w:t>
      </w:r>
      <w:r w:rsidR="000E5BF5">
        <w:rPr>
          <w:rFonts w:ascii="Verdana" w:hAnsi="Verdana"/>
          <w:sz w:val="24"/>
          <w:szCs w:val="24"/>
        </w:rPr>
        <w:t>introduction</w:t>
      </w:r>
      <w:r>
        <w:rPr>
          <w:rFonts w:ascii="Verdana" w:hAnsi="Verdana"/>
          <w:sz w:val="24"/>
          <w:szCs w:val="24"/>
        </w:rPr>
        <w:t xml:space="preserve"> of a Disability Support Grant </w:t>
      </w:r>
      <w:r w:rsidR="000E5BF5">
        <w:rPr>
          <w:rFonts w:ascii="Verdana" w:hAnsi="Verdana"/>
          <w:sz w:val="24"/>
          <w:szCs w:val="24"/>
        </w:rPr>
        <w:t>has been</w:t>
      </w:r>
      <w:r>
        <w:rPr>
          <w:rFonts w:ascii="Verdana" w:hAnsi="Verdana"/>
          <w:sz w:val="24"/>
          <w:szCs w:val="24"/>
        </w:rPr>
        <w:t xml:space="preserve"> an important positive first step in acknowledging the </w:t>
      </w:r>
      <w:r w:rsidR="00A17987">
        <w:rPr>
          <w:rFonts w:ascii="Verdana" w:hAnsi="Verdana"/>
          <w:sz w:val="24"/>
          <w:szCs w:val="24"/>
        </w:rPr>
        <w:t>extra costs</w:t>
      </w:r>
      <w:r>
        <w:rPr>
          <w:rFonts w:ascii="Verdana" w:hAnsi="Verdana"/>
          <w:sz w:val="24"/>
          <w:szCs w:val="24"/>
        </w:rPr>
        <w:t xml:space="preserve">. </w:t>
      </w:r>
      <w:r w:rsidR="000E5BF5" w:rsidRPr="005F1C54">
        <w:rPr>
          <w:rFonts w:ascii="Verdana" w:hAnsi="Verdana"/>
          <w:b/>
          <w:bCs/>
          <w:sz w:val="24"/>
          <w:szCs w:val="24"/>
        </w:rPr>
        <w:t>This grant</w:t>
      </w:r>
      <w:r w:rsidRPr="005F1C54">
        <w:rPr>
          <w:rFonts w:ascii="Verdana" w:hAnsi="Verdana"/>
          <w:b/>
          <w:bCs/>
          <w:sz w:val="24"/>
          <w:szCs w:val="24"/>
        </w:rPr>
        <w:t xml:space="preserve"> should be retained and </w:t>
      </w:r>
      <w:r w:rsidRPr="005F1C54">
        <w:rPr>
          <w:rFonts w:ascii="Verdana" w:hAnsi="Verdana"/>
          <w:b/>
          <w:bCs/>
          <w:sz w:val="24"/>
          <w:szCs w:val="24"/>
        </w:rPr>
        <w:lastRenderedPageBreak/>
        <w:t>built on over time</w:t>
      </w:r>
      <w:r w:rsidR="0025574C" w:rsidRPr="005F1C54">
        <w:rPr>
          <w:rFonts w:ascii="Verdana" w:hAnsi="Verdana"/>
          <w:b/>
          <w:bCs/>
          <w:sz w:val="24"/>
          <w:szCs w:val="24"/>
        </w:rPr>
        <w:t>, as work continues on reform to address the Cost of Disability</w:t>
      </w:r>
      <w:r>
        <w:rPr>
          <w:rFonts w:ascii="Verdana" w:hAnsi="Verdana"/>
          <w:sz w:val="24"/>
          <w:szCs w:val="24"/>
        </w:rPr>
        <w:t xml:space="preserve">. </w:t>
      </w:r>
    </w:p>
    <w:p w14:paraId="56EF124F" w14:textId="2C9E57B0" w:rsidR="002D20C0" w:rsidRPr="00F5696B" w:rsidRDefault="002D20C0" w:rsidP="00F5696B">
      <w:pPr>
        <w:pStyle w:val="Heading1"/>
        <w:rPr>
          <w:sz w:val="24"/>
          <w:szCs w:val="24"/>
        </w:rPr>
      </w:pPr>
      <w:bookmarkStart w:id="15" w:name="_Toc171069207"/>
      <w:r w:rsidRPr="00F5696B">
        <w:rPr>
          <w:sz w:val="24"/>
          <w:szCs w:val="24"/>
        </w:rPr>
        <w:t>Energy Poverty</w:t>
      </w:r>
      <w:bookmarkEnd w:id="15"/>
    </w:p>
    <w:p w14:paraId="3EF35AE4" w14:textId="0E3AE3A7" w:rsidR="00363A02" w:rsidRDefault="00CE0DAB" w:rsidP="00FE630E">
      <w:pPr>
        <w:rPr>
          <w:rFonts w:ascii="Verdana" w:hAnsi="Verdana"/>
          <w:sz w:val="24"/>
          <w:szCs w:val="24"/>
        </w:rPr>
      </w:pPr>
      <w:r w:rsidRPr="00D3739C">
        <w:rPr>
          <w:rFonts w:ascii="Verdana" w:hAnsi="Verdana"/>
          <w:sz w:val="24"/>
          <w:szCs w:val="24"/>
        </w:rPr>
        <w:t xml:space="preserve">The EU Commission’s </w:t>
      </w:r>
      <w:r w:rsidR="006F18C4" w:rsidRPr="00D3739C">
        <w:rPr>
          <w:rFonts w:ascii="Verdana" w:hAnsi="Verdana"/>
          <w:sz w:val="24"/>
          <w:szCs w:val="24"/>
        </w:rPr>
        <w:t>2024 EU Semester ‘Country Specific Recommendations</w:t>
      </w:r>
      <w:r w:rsidR="00E836DC">
        <w:rPr>
          <w:rFonts w:ascii="Verdana" w:hAnsi="Verdana"/>
          <w:sz w:val="24"/>
          <w:szCs w:val="24"/>
        </w:rPr>
        <w:t>’</w:t>
      </w:r>
      <w:r w:rsidR="006F18C4" w:rsidRPr="00D3739C">
        <w:rPr>
          <w:rFonts w:ascii="Verdana" w:hAnsi="Verdana"/>
          <w:sz w:val="24"/>
          <w:szCs w:val="24"/>
        </w:rPr>
        <w:t xml:space="preserve"> note that</w:t>
      </w:r>
      <w:r w:rsidR="00FD1E63" w:rsidRPr="00D3739C">
        <w:rPr>
          <w:rFonts w:ascii="Verdana" w:hAnsi="Verdana"/>
          <w:sz w:val="24"/>
          <w:szCs w:val="24"/>
        </w:rPr>
        <w:t xml:space="preserve"> last year</w:t>
      </w:r>
      <w:r w:rsidR="006F18C4" w:rsidRPr="00D3739C">
        <w:rPr>
          <w:rFonts w:ascii="Verdana" w:hAnsi="Verdana"/>
          <w:sz w:val="24"/>
          <w:szCs w:val="24"/>
        </w:rPr>
        <w:t xml:space="preserve"> Ireland</w:t>
      </w:r>
      <w:r w:rsidR="002D20C0" w:rsidRPr="00D3739C">
        <w:rPr>
          <w:rFonts w:ascii="Verdana" w:hAnsi="Verdana"/>
          <w:sz w:val="24"/>
          <w:szCs w:val="24"/>
        </w:rPr>
        <w:t xml:space="preserve"> </w:t>
      </w:r>
      <w:r w:rsidR="00FD1E63" w:rsidRPr="00D3739C">
        <w:rPr>
          <w:rFonts w:ascii="Verdana" w:hAnsi="Verdana"/>
          <w:sz w:val="24"/>
          <w:szCs w:val="24"/>
        </w:rPr>
        <w:t>ha</w:t>
      </w:r>
      <w:r w:rsidR="002D20C0" w:rsidRPr="00D3739C">
        <w:rPr>
          <w:rFonts w:ascii="Verdana" w:hAnsi="Verdana"/>
          <w:sz w:val="24"/>
          <w:szCs w:val="24"/>
        </w:rPr>
        <w:t xml:space="preserve">d </w:t>
      </w:r>
      <w:r w:rsidR="00FD1E63" w:rsidRPr="00D3739C">
        <w:rPr>
          <w:rFonts w:ascii="Verdana" w:hAnsi="Verdana"/>
          <w:sz w:val="24"/>
          <w:szCs w:val="24"/>
        </w:rPr>
        <w:t xml:space="preserve">the </w:t>
      </w:r>
      <w:r w:rsidR="002D20C0" w:rsidRPr="00D3739C">
        <w:rPr>
          <w:rFonts w:ascii="Verdana" w:hAnsi="Verdana"/>
          <w:sz w:val="24"/>
          <w:szCs w:val="24"/>
        </w:rPr>
        <w:t xml:space="preserve">highest </w:t>
      </w:r>
      <w:r w:rsidR="00FD1E63" w:rsidRPr="00D3739C">
        <w:rPr>
          <w:rFonts w:ascii="Verdana" w:hAnsi="Verdana"/>
          <w:sz w:val="24"/>
          <w:szCs w:val="24"/>
        </w:rPr>
        <w:t xml:space="preserve">electricity </w:t>
      </w:r>
      <w:r w:rsidR="002D20C0" w:rsidRPr="00D3739C">
        <w:rPr>
          <w:rFonts w:ascii="Verdana" w:hAnsi="Verdana"/>
          <w:sz w:val="24"/>
          <w:szCs w:val="24"/>
        </w:rPr>
        <w:t>prices in the EU.</w:t>
      </w:r>
      <w:r w:rsidR="00485B38" w:rsidRPr="00D3739C">
        <w:rPr>
          <w:rStyle w:val="FootnoteReference"/>
          <w:rFonts w:ascii="Verdana" w:hAnsi="Verdana"/>
          <w:sz w:val="24"/>
          <w:szCs w:val="24"/>
        </w:rPr>
        <w:footnoteReference w:id="36"/>
      </w:r>
      <w:r w:rsidR="000173B0" w:rsidRPr="00D3739C">
        <w:rPr>
          <w:rFonts w:ascii="Verdana" w:hAnsi="Verdana"/>
          <w:sz w:val="24"/>
          <w:szCs w:val="24"/>
        </w:rPr>
        <w:t xml:space="preserve"> Data also shows that only Denmark, Germany, the Netherlands and Cyprus had higher</w:t>
      </w:r>
      <w:r w:rsidR="00D3739C" w:rsidRPr="00D3739C">
        <w:rPr>
          <w:rFonts w:ascii="Verdana" w:hAnsi="Verdana"/>
          <w:sz w:val="24"/>
          <w:szCs w:val="24"/>
        </w:rPr>
        <w:t xml:space="preserve"> </w:t>
      </w:r>
      <w:r w:rsidR="003802C8" w:rsidRPr="00D3739C">
        <w:rPr>
          <w:rFonts w:ascii="Verdana" w:hAnsi="Verdana"/>
          <w:sz w:val="24"/>
          <w:szCs w:val="24"/>
        </w:rPr>
        <w:t xml:space="preserve">energy </w:t>
      </w:r>
      <w:r w:rsidR="00D3739C" w:rsidRPr="00D3739C">
        <w:rPr>
          <w:rFonts w:ascii="Verdana" w:hAnsi="Verdana"/>
          <w:sz w:val="24"/>
          <w:szCs w:val="24"/>
        </w:rPr>
        <w:t>price</w:t>
      </w:r>
      <w:r w:rsidR="000173B0" w:rsidRPr="00D3739C">
        <w:rPr>
          <w:rFonts w:ascii="Verdana" w:hAnsi="Verdana"/>
          <w:sz w:val="24"/>
          <w:szCs w:val="24"/>
        </w:rPr>
        <w:t xml:space="preserve"> levels than Ireland</w:t>
      </w:r>
      <w:r w:rsidR="00D3739C" w:rsidRPr="00D3739C">
        <w:rPr>
          <w:rFonts w:ascii="Verdana" w:hAnsi="Verdana"/>
          <w:sz w:val="24"/>
          <w:szCs w:val="24"/>
        </w:rPr>
        <w:t xml:space="preserve"> in 2023</w:t>
      </w:r>
      <w:r w:rsidR="00861F07" w:rsidRPr="00D3739C">
        <w:rPr>
          <w:rFonts w:ascii="Verdana" w:hAnsi="Verdana"/>
          <w:sz w:val="24"/>
          <w:szCs w:val="24"/>
        </w:rPr>
        <w:t>.</w:t>
      </w:r>
      <w:r w:rsidR="00861F07" w:rsidRPr="00D3739C">
        <w:rPr>
          <w:rStyle w:val="FootnoteReference"/>
          <w:rFonts w:ascii="Verdana" w:hAnsi="Verdana"/>
          <w:sz w:val="24"/>
          <w:szCs w:val="24"/>
        </w:rPr>
        <w:footnoteReference w:id="37"/>
      </w:r>
      <w:r w:rsidR="00692114">
        <w:rPr>
          <w:rFonts w:ascii="Verdana" w:hAnsi="Verdana"/>
          <w:sz w:val="24"/>
          <w:szCs w:val="24"/>
        </w:rPr>
        <w:t xml:space="preserve"> </w:t>
      </w:r>
      <w:r w:rsidR="00FD04F2">
        <w:rPr>
          <w:rFonts w:ascii="Verdana" w:hAnsi="Verdana"/>
          <w:sz w:val="24"/>
          <w:szCs w:val="24"/>
        </w:rPr>
        <w:t>Th</w:t>
      </w:r>
      <w:r w:rsidR="00692114">
        <w:rPr>
          <w:rFonts w:ascii="Verdana" w:hAnsi="Verdana"/>
          <w:sz w:val="24"/>
          <w:szCs w:val="24"/>
        </w:rPr>
        <w:t>ese</w:t>
      </w:r>
      <w:r w:rsidR="00FD04F2">
        <w:rPr>
          <w:rFonts w:ascii="Verdana" w:hAnsi="Verdana"/>
          <w:sz w:val="24"/>
          <w:szCs w:val="24"/>
        </w:rPr>
        <w:t xml:space="preserve"> ongoing extremely high</w:t>
      </w:r>
      <w:r w:rsidR="00B4251A">
        <w:rPr>
          <w:rFonts w:ascii="Verdana" w:hAnsi="Verdana"/>
          <w:sz w:val="24"/>
          <w:szCs w:val="24"/>
        </w:rPr>
        <w:t xml:space="preserve"> costs </w:t>
      </w:r>
      <w:r w:rsidR="00FD04F2">
        <w:rPr>
          <w:rFonts w:ascii="Verdana" w:hAnsi="Verdana"/>
          <w:sz w:val="24"/>
          <w:szCs w:val="24"/>
        </w:rPr>
        <w:t>continue to be</w:t>
      </w:r>
      <w:r w:rsidR="00B4251A">
        <w:rPr>
          <w:rFonts w:ascii="Verdana" w:hAnsi="Verdana"/>
          <w:sz w:val="24"/>
          <w:szCs w:val="24"/>
        </w:rPr>
        <w:t xml:space="preserve"> devastating for </w:t>
      </w:r>
      <w:r w:rsidR="00281D95">
        <w:rPr>
          <w:rFonts w:ascii="Verdana" w:hAnsi="Verdana"/>
          <w:sz w:val="24"/>
          <w:szCs w:val="24"/>
        </w:rPr>
        <w:t xml:space="preserve">people with disabilities. </w:t>
      </w:r>
      <w:r w:rsidR="00FE630E" w:rsidRPr="00B41283">
        <w:rPr>
          <w:rFonts w:ascii="Verdana" w:hAnsi="Verdana"/>
          <w:sz w:val="24"/>
          <w:szCs w:val="24"/>
        </w:rPr>
        <w:t xml:space="preserve">For </w:t>
      </w:r>
      <w:r w:rsidR="007B1452">
        <w:rPr>
          <w:rFonts w:ascii="Verdana" w:hAnsi="Verdana"/>
          <w:sz w:val="24"/>
          <w:szCs w:val="24"/>
        </w:rPr>
        <w:t xml:space="preserve">many </w:t>
      </w:r>
      <w:r w:rsidR="000C2EFF">
        <w:rPr>
          <w:rFonts w:ascii="Verdana" w:hAnsi="Verdana"/>
          <w:sz w:val="24"/>
          <w:szCs w:val="24"/>
        </w:rPr>
        <w:t>disabled people</w:t>
      </w:r>
      <w:r w:rsidR="00FE630E" w:rsidRPr="00B41283">
        <w:rPr>
          <w:rFonts w:ascii="Verdana" w:hAnsi="Verdana"/>
          <w:sz w:val="24"/>
          <w:szCs w:val="24"/>
        </w:rPr>
        <w:t xml:space="preserve"> who ha</w:t>
      </w:r>
      <w:r w:rsidR="000C2EFF">
        <w:rPr>
          <w:rFonts w:ascii="Verdana" w:hAnsi="Verdana"/>
          <w:sz w:val="24"/>
          <w:szCs w:val="24"/>
        </w:rPr>
        <w:t>ve</w:t>
      </w:r>
      <w:r w:rsidR="00FE630E" w:rsidRPr="00B41283">
        <w:rPr>
          <w:rFonts w:ascii="Verdana" w:hAnsi="Verdana"/>
          <w:sz w:val="24"/>
          <w:szCs w:val="24"/>
        </w:rPr>
        <w:t xml:space="preserve"> to use </w:t>
      </w:r>
      <w:r w:rsidR="00001A97">
        <w:rPr>
          <w:rFonts w:ascii="Verdana" w:hAnsi="Verdana"/>
          <w:sz w:val="24"/>
          <w:szCs w:val="24"/>
        </w:rPr>
        <w:t xml:space="preserve">significant amounts of </w:t>
      </w:r>
      <w:r w:rsidR="00FE630E" w:rsidRPr="00B41283">
        <w:rPr>
          <w:rFonts w:ascii="Verdana" w:hAnsi="Verdana"/>
          <w:sz w:val="24"/>
          <w:szCs w:val="24"/>
        </w:rPr>
        <w:t>electricity</w:t>
      </w:r>
      <w:r w:rsidR="000C2EFF">
        <w:rPr>
          <w:rFonts w:ascii="Verdana" w:hAnsi="Verdana"/>
          <w:sz w:val="24"/>
          <w:szCs w:val="24"/>
        </w:rPr>
        <w:t xml:space="preserve"> daily</w:t>
      </w:r>
      <w:r w:rsidR="003871A0">
        <w:rPr>
          <w:rFonts w:ascii="Verdana" w:hAnsi="Verdana"/>
          <w:sz w:val="24"/>
          <w:szCs w:val="24"/>
        </w:rPr>
        <w:t>, even throughout the summer,</w:t>
      </w:r>
      <w:r w:rsidR="00FE630E" w:rsidRPr="00B41283">
        <w:rPr>
          <w:rFonts w:ascii="Verdana" w:hAnsi="Verdana"/>
          <w:sz w:val="24"/>
          <w:szCs w:val="24"/>
        </w:rPr>
        <w:t xml:space="preserve"> </w:t>
      </w:r>
      <w:r w:rsidR="00A21525" w:rsidRPr="00B41283">
        <w:rPr>
          <w:rFonts w:ascii="Verdana" w:hAnsi="Verdana"/>
          <w:sz w:val="24"/>
          <w:szCs w:val="24"/>
        </w:rPr>
        <w:t>to charge</w:t>
      </w:r>
      <w:r w:rsidR="000C2EFF">
        <w:rPr>
          <w:rFonts w:ascii="Verdana" w:hAnsi="Verdana"/>
          <w:sz w:val="24"/>
          <w:szCs w:val="24"/>
        </w:rPr>
        <w:t xml:space="preserve"> </w:t>
      </w:r>
      <w:r w:rsidR="00A21525" w:rsidRPr="00B41283">
        <w:rPr>
          <w:rFonts w:ascii="Verdana" w:hAnsi="Verdana"/>
          <w:sz w:val="24"/>
          <w:szCs w:val="24"/>
        </w:rPr>
        <w:t>assistive technology</w:t>
      </w:r>
      <w:r w:rsidR="00B22A0A">
        <w:rPr>
          <w:rFonts w:ascii="Verdana" w:hAnsi="Verdana"/>
          <w:sz w:val="24"/>
          <w:szCs w:val="24"/>
        </w:rPr>
        <w:t>,</w:t>
      </w:r>
      <w:r w:rsidR="00FE630E" w:rsidRPr="00B41283">
        <w:rPr>
          <w:rFonts w:ascii="Verdana" w:hAnsi="Verdana"/>
          <w:sz w:val="24"/>
          <w:szCs w:val="24"/>
        </w:rPr>
        <w:t xml:space="preserve"> essential medical equipment,</w:t>
      </w:r>
      <w:r w:rsidR="00B22A0A">
        <w:rPr>
          <w:rFonts w:ascii="Verdana" w:hAnsi="Verdana"/>
          <w:sz w:val="24"/>
          <w:szCs w:val="24"/>
        </w:rPr>
        <w:t xml:space="preserve"> power wheelchair</w:t>
      </w:r>
      <w:r w:rsidR="00B11764">
        <w:rPr>
          <w:rFonts w:ascii="Verdana" w:hAnsi="Verdana"/>
          <w:sz w:val="24"/>
          <w:szCs w:val="24"/>
        </w:rPr>
        <w:t>s</w:t>
      </w:r>
      <w:r w:rsidR="00B22A0A">
        <w:rPr>
          <w:rFonts w:ascii="Verdana" w:hAnsi="Verdana"/>
          <w:sz w:val="24"/>
          <w:szCs w:val="24"/>
        </w:rPr>
        <w:t xml:space="preserve"> etc,</w:t>
      </w:r>
      <w:r w:rsidR="00FE630E" w:rsidRPr="00B41283">
        <w:rPr>
          <w:rFonts w:ascii="Verdana" w:hAnsi="Verdana"/>
          <w:sz w:val="24"/>
          <w:szCs w:val="24"/>
        </w:rPr>
        <w:t xml:space="preserve"> there is no way </w:t>
      </w:r>
      <w:r w:rsidR="006C0325">
        <w:rPr>
          <w:rFonts w:ascii="Verdana" w:hAnsi="Verdana"/>
          <w:sz w:val="24"/>
          <w:szCs w:val="24"/>
        </w:rPr>
        <w:t xml:space="preserve">to </w:t>
      </w:r>
      <w:r w:rsidR="00B41283" w:rsidRPr="00B41283">
        <w:rPr>
          <w:rFonts w:ascii="Verdana" w:hAnsi="Verdana"/>
          <w:sz w:val="24"/>
          <w:szCs w:val="24"/>
        </w:rPr>
        <w:t xml:space="preserve">reduce </w:t>
      </w:r>
      <w:r w:rsidR="000C2EFF">
        <w:rPr>
          <w:rFonts w:ascii="Verdana" w:hAnsi="Verdana"/>
          <w:sz w:val="24"/>
          <w:szCs w:val="24"/>
        </w:rPr>
        <w:t xml:space="preserve">their </w:t>
      </w:r>
      <w:r w:rsidR="00B41283" w:rsidRPr="00B41283">
        <w:rPr>
          <w:rFonts w:ascii="Verdana" w:hAnsi="Verdana"/>
          <w:sz w:val="24"/>
          <w:szCs w:val="24"/>
        </w:rPr>
        <w:t>energy consumption</w:t>
      </w:r>
      <w:r w:rsidR="00FE630E" w:rsidRPr="00B41283">
        <w:rPr>
          <w:rFonts w:ascii="Verdana" w:hAnsi="Verdana"/>
          <w:sz w:val="24"/>
          <w:szCs w:val="24"/>
        </w:rPr>
        <w:t>.</w:t>
      </w:r>
      <w:r w:rsidR="00B41283" w:rsidRPr="00B41283">
        <w:rPr>
          <w:rFonts w:ascii="Verdana" w:hAnsi="Verdana"/>
          <w:sz w:val="24"/>
          <w:szCs w:val="24"/>
        </w:rPr>
        <w:t xml:space="preserve"> </w:t>
      </w:r>
    </w:p>
    <w:p w14:paraId="7C352007" w14:textId="56DF0C7E" w:rsidR="00800BF6" w:rsidRDefault="00393496" w:rsidP="00800BF6">
      <w:pPr>
        <w:rPr>
          <w:rFonts w:ascii="Verdana" w:hAnsi="Verdana"/>
          <w:sz w:val="24"/>
          <w:szCs w:val="24"/>
        </w:rPr>
      </w:pPr>
      <w:r>
        <w:rPr>
          <w:rFonts w:ascii="Verdana" w:hAnsi="Verdana"/>
          <w:sz w:val="24"/>
          <w:szCs w:val="24"/>
        </w:rPr>
        <w:t>T</w:t>
      </w:r>
      <w:r w:rsidR="00CE7075">
        <w:rPr>
          <w:rFonts w:ascii="Verdana" w:hAnsi="Verdana"/>
          <w:sz w:val="24"/>
          <w:szCs w:val="24"/>
        </w:rPr>
        <w:t xml:space="preserve">he </w:t>
      </w:r>
      <w:r>
        <w:rPr>
          <w:rFonts w:ascii="Verdana" w:hAnsi="Verdana"/>
          <w:sz w:val="24"/>
          <w:szCs w:val="24"/>
        </w:rPr>
        <w:t>electricity credits</w:t>
      </w:r>
      <w:r w:rsidR="00CE7075">
        <w:rPr>
          <w:rFonts w:ascii="Verdana" w:hAnsi="Verdana"/>
          <w:sz w:val="24"/>
          <w:szCs w:val="24"/>
        </w:rPr>
        <w:t xml:space="preserve"> </w:t>
      </w:r>
      <w:r w:rsidR="00FD4D44">
        <w:rPr>
          <w:rFonts w:ascii="Verdana" w:hAnsi="Verdana"/>
          <w:sz w:val="24"/>
          <w:szCs w:val="24"/>
        </w:rPr>
        <w:t xml:space="preserve">since 2022 </w:t>
      </w:r>
      <w:r w:rsidR="00E13F55">
        <w:rPr>
          <w:rFonts w:ascii="Verdana" w:hAnsi="Verdana"/>
          <w:sz w:val="24"/>
          <w:szCs w:val="24"/>
        </w:rPr>
        <w:t>were extremely welcome</w:t>
      </w:r>
      <w:r w:rsidR="000E3467">
        <w:rPr>
          <w:rFonts w:ascii="Verdana" w:hAnsi="Verdana"/>
          <w:sz w:val="24"/>
          <w:szCs w:val="24"/>
        </w:rPr>
        <w:t xml:space="preserve"> for </w:t>
      </w:r>
      <w:r w:rsidR="008D6D11">
        <w:rPr>
          <w:rFonts w:ascii="Verdana" w:hAnsi="Verdana"/>
          <w:sz w:val="24"/>
          <w:szCs w:val="24"/>
        </w:rPr>
        <w:t>disabled families,</w:t>
      </w:r>
      <w:r w:rsidR="000E3467">
        <w:rPr>
          <w:rFonts w:ascii="Verdana" w:hAnsi="Verdana"/>
          <w:sz w:val="24"/>
          <w:szCs w:val="24"/>
        </w:rPr>
        <w:t xml:space="preserve"> to whom they provided a lifeline.</w:t>
      </w:r>
      <w:r w:rsidR="00E13F55">
        <w:rPr>
          <w:rFonts w:ascii="Verdana" w:hAnsi="Verdana"/>
          <w:sz w:val="24"/>
          <w:szCs w:val="24"/>
        </w:rPr>
        <w:t xml:space="preserve"> </w:t>
      </w:r>
      <w:proofErr w:type="gramStart"/>
      <w:r w:rsidR="000E3467">
        <w:rPr>
          <w:rFonts w:ascii="Verdana" w:hAnsi="Verdana"/>
          <w:sz w:val="24"/>
          <w:szCs w:val="24"/>
        </w:rPr>
        <w:t>However</w:t>
      </w:r>
      <w:proofErr w:type="gramEnd"/>
      <w:r w:rsidR="00C548BB">
        <w:rPr>
          <w:rFonts w:ascii="Verdana" w:hAnsi="Verdana"/>
          <w:sz w:val="24"/>
          <w:szCs w:val="24"/>
        </w:rPr>
        <w:t xml:space="preserve"> this </w:t>
      </w:r>
      <w:r w:rsidR="00A916D3">
        <w:rPr>
          <w:rFonts w:ascii="Verdana" w:hAnsi="Verdana"/>
          <w:sz w:val="24"/>
          <w:szCs w:val="24"/>
        </w:rPr>
        <w:t xml:space="preserve">very </w:t>
      </w:r>
      <w:r w:rsidR="00C548BB">
        <w:rPr>
          <w:rFonts w:ascii="Verdana" w:hAnsi="Verdana"/>
          <w:sz w:val="24"/>
          <w:szCs w:val="24"/>
        </w:rPr>
        <w:t>significant financial outlay</w:t>
      </w:r>
      <w:r w:rsidR="000E3467">
        <w:rPr>
          <w:rFonts w:ascii="Verdana" w:hAnsi="Verdana"/>
          <w:sz w:val="24"/>
          <w:szCs w:val="24"/>
        </w:rPr>
        <w:t xml:space="preserve"> </w:t>
      </w:r>
      <w:r w:rsidR="00E13F55">
        <w:rPr>
          <w:rFonts w:ascii="Verdana" w:hAnsi="Verdana"/>
          <w:sz w:val="24"/>
          <w:szCs w:val="24"/>
        </w:rPr>
        <w:t>was not an efficient deployment of state resources</w:t>
      </w:r>
      <w:r w:rsidR="00C548BB">
        <w:rPr>
          <w:rFonts w:ascii="Verdana" w:hAnsi="Verdana"/>
          <w:sz w:val="24"/>
          <w:szCs w:val="24"/>
        </w:rPr>
        <w:t xml:space="preserve">, given that the credit was </w:t>
      </w:r>
      <w:r w:rsidR="00E13F55">
        <w:rPr>
          <w:rFonts w:ascii="Verdana" w:hAnsi="Verdana"/>
          <w:sz w:val="24"/>
          <w:szCs w:val="24"/>
        </w:rPr>
        <w:t>universal</w:t>
      </w:r>
      <w:r w:rsidR="00C548BB">
        <w:rPr>
          <w:rFonts w:ascii="Verdana" w:hAnsi="Verdana"/>
          <w:sz w:val="24"/>
          <w:szCs w:val="24"/>
        </w:rPr>
        <w:t xml:space="preserve"> </w:t>
      </w:r>
      <w:r w:rsidR="008D6BDD">
        <w:rPr>
          <w:rFonts w:ascii="Verdana" w:hAnsi="Verdana"/>
          <w:sz w:val="24"/>
          <w:szCs w:val="24"/>
        </w:rPr>
        <w:t>(</w:t>
      </w:r>
      <w:r w:rsidR="00C548BB">
        <w:rPr>
          <w:rFonts w:ascii="Verdana" w:hAnsi="Verdana"/>
          <w:sz w:val="24"/>
          <w:szCs w:val="24"/>
        </w:rPr>
        <w:t>and thus received by many high-income individuals</w:t>
      </w:r>
      <w:r w:rsidR="008D6BDD">
        <w:rPr>
          <w:rFonts w:ascii="Verdana" w:hAnsi="Verdana"/>
          <w:sz w:val="24"/>
          <w:szCs w:val="24"/>
        </w:rPr>
        <w:t>)</w:t>
      </w:r>
      <w:r w:rsidR="00C548BB">
        <w:rPr>
          <w:rFonts w:ascii="Verdana" w:hAnsi="Verdana"/>
          <w:sz w:val="24"/>
          <w:szCs w:val="24"/>
        </w:rPr>
        <w:t>, rather than targeted at those most at risk of energy pove</w:t>
      </w:r>
      <w:r w:rsidR="00FF2826">
        <w:rPr>
          <w:rFonts w:ascii="Verdana" w:hAnsi="Verdana"/>
          <w:sz w:val="24"/>
          <w:szCs w:val="24"/>
        </w:rPr>
        <w:t>rty</w:t>
      </w:r>
      <w:r w:rsidR="00931A62">
        <w:rPr>
          <w:rFonts w:ascii="Verdana" w:hAnsi="Verdana"/>
          <w:sz w:val="24"/>
          <w:szCs w:val="24"/>
        </w:rPr>
        <w:t xml:space="preserve"> and already in arrears</w:t>
      </w:r>
      <w:r w:rsidR="00E13F55">
        <w:rPr>
          <w:rFonts w:ascii="Verdana" w:hAnsi="Verdana"/>
          <w:sz w:val="24"/>
          <w:szCs w:val="24"/>
        </w:rPr>
        <w:t xml:space="preserve">. </w:t>
      </w:r>
      <w:r w:rsidR="00956163">
        <w:rPr>
          <w:rFonts w:ascii="Verdana" w:hAnsi="Verdana"/>
          <w:sz w:val="24"/>
          <w:szCs w:val="24"/>
        </w:rPr>
        <w:t xml:space="preserve">Statistics cited earlier show </w:t>
      </w:r>
      <w:r w:rsidR="00956163" w:rsidRPr="005D20CC">
        <w:rPr>
          <w:rFonts w:ascii="Verdana" w:hAnsi="Verdana"/>
          <w:b/>
          <w:bCs/>
          <w:sz w:val="24"/>
          <w:szCs w:val="24"/>
        </w:rPr>
        <w:t xml:space="preserve">the higher levels of </w:t>
      </w:r>
      <w:r w:rsidR="00FF2826" w:rsidRPr="005D20CC">
        <w:rPr>
          <w:rFonts w:ascii="Verdana" w:hAnsi="Verdana"/>
          <w:b/>
          <w:bCs/>
          <w:sz w:val="24"/>
          <w:szCs w:val="24"/>
        </w:rPr>
        <w:t>e</w:t>
      </w:r>
      <w:r w:rsidR="00956163" w:rsidRPr="005D20CC">
        <w:rPr>
          <w:rFonts w:ascii="Verdana" w:hAnsi="Verdana"/>
          <w:b/>
          <w:bCs/>
          <w:sz w:val="24"/>
          <w:szCs w:val="24"/>
        </w:rPr>
        <w:t xml:space="preserve">nergy </w:t>
      </w:r>
      <w:r w:rsidR="00FF2826" w:rsidRPr="005D20CC">
        <w:rPr>
          <w:rFonts w:ascii="Verdana" w:hAnsi="Verdana"/>
          <w:b/>
          <w:bCs/>
          <w:sz w:val="24"/>
          <w:szCs w:val="24"/>
        </w:rPr>
        <w:t>p</w:t>
      </w:r>
      <w:r w:rsidR="00956163" w:rsidRPr="005D20CC">
        <w:rPr>
          <w:rFonts w:ascii="Verdana" w:hAnsi="Verdana"/>
          <w:b/>
          <w:bCs/>
          <w:sz w:val="24"/>
          <w:szCs w:val="24"/>
        </w:rPr>
        <w:t>overty that disabled people live with</w:t>
      </w:r>
      <w:r w:rsidR="0073006D">
        <w:rPr>
          <w:rFonts w:ascii="Verdana" w:hAnsi="Verdana"/>
          <w:sz w:val="24"/>
          <w:szCs w:val="24"/>
        </w:rPr>
        <w:t>.</w:t>
      </w:r>
      <w:r w:rsidR="00956163">
        <w:rPr>
          <w:rFonts w:ascii="Verdana" w:hAnsi="Verdana"/>
          <w:sz w:val="24"/>
          <w:szCs w:val="24"/>
        </w:rPr>
        <w:t xml:space="preserve"> </w:t>
      </w:r>
      <w:r w:rsidR="00800BF6">
        <w:rPr>
          <w:rFonts w:ascii="Verdana" w:hAnsi="Verdana"/>
          <w:sz w:val="24"/>
          <w:szCs w:val="24"/>
        </w:rPr>
        <w:t xml:space="preserve">It is also important to note that </w:t>
      </w:r>
      <w:r w:rsidR="00800BF6" w:rsidRPr="00863581">
        <w:rPr>
          <w:rFonts w:ascii="Verdana" w:hAnsi="Verdana"/>
          <w:b/>
          <w:bCs/>
          <w:sz w:val="24"/>
          <w:szCs w:val="24"/>
        </w:rPr>
        <w:t>only</w:t>
      </w:r>
      <w:r w:rsidR="00FF2826" w:rsidRPr="00863581">
        <w:rPr>
          <w:rFonts w:ascii="Verdana" w:hAnsi="Verdana"/>
          <w:b/>
          <w:bCs/>
          <w:sz w:val="24"/>
          <w:szCs w:val="24"/>
        </w:rPr>
        <w:t xml:space="preserve"> about</w:t>
      </w:r>
      <w:r w:rsidR="00800BF6" w:rsidRPr="00863581">
        <w:rPr>
          <w:rFonts w:ascii="Verdana" w:hAnsi="Verdana"/>
          <w:b/>
          <w:bCs/>
          <w:sz w:val="24"/>
          <w:szCs w:val="24"/>
        </w:rPr>
        <w:t xml:space="preserve"> 50% of Disability Allowance recipients qualify for </w:t>
      </w:r>
      <w:r w:rsidR="009207AA" w:rsidRPr="00863581">
        <w:rPr>
          <w:rFonts w:ascii="Verdana" w:hAnsi="Verdana"/>
          <w:b/>
          <w:bCs/>
          <w:sz w:val="24"/>
          <w:szCs w:val="24"/>
        </w:rPr>
        <w:t>F</w:t>
      </w:r>
      <w:r w:rsidR="00800BF6" w:rsidRPr="00863581">
        <w:rPr>
          <w:rFonts w:ascii="Verdana" w:hAnsi="Verdana"/>
          <w:b/>
          <w:bCs/>
          <w:sz w:val="24"/>
          <w:szCs w:val="24"/>
        </w:rPr>
        <w:t xml:space="preserve">uel </w:t>
      </w:r>
      <w:r w:rsidR="009207AA" w:rsidRPr="00863581">
        <w:rPr>
          <w:rFonts w:ascii="Verdana" w:hAnsi="Verdana"/>
          <w:b/>
          <w:bCs/>
          <w:sz w:val="24"/>
          <w:szCs w:val="24"/>
        </w:rPr>
        <w:t>A</w:t>
      </w:r>
      <w:r w:rsidR="00800BF6" w:rsidRPr="00863581">
        <w:rPr>
          <w:rFonts w:ascii="Verdana" w:hAnsi="Verdana"/>
          <w:b/>
          <w:bCs/>
          <w:sz w:val="24"/>
          <w:szCs w:val="24"/>
        </w:rPr>
        <w:t>llowance,</w:t>
      </w:r>
      <w:r w:rsidR="00800BF6">
        <w:rPr>
          <w:rFonts w:ascii="Verdana" w:hAnsi="Verdana"/>
          <w:sz w:val="24"/>
          <w:szCs w:val="24"/>
        </w:rPr>
        <w:t xml:space="preserve"> the core rate of which did not increase last year</w:t>
      </w:r>
      <w:r w:rsidR="00591717">
        <w:rPr>
          <w:rFonts w:ascii="Verdana" w:hAnsi="Verdana"/>
          <w:sz w:val="24"/>
          <w:szCs w:val="24"/>
        </w:rPr>
        <w:t xml:space="preserve"> despite highly escalating costs</w:t>
      </w:r>
      <w:r w:rsidR="00800BF6">
        <w:rPr>
          <w:rFonts w:ascii="Verdana" w:hAnsi="Verdana"/>
          <w:sz w:val="24"/>
          <w:szCs w:val="24"/>
        </w:rPr>
        <w:t xml:space="preserve">. </w:t>
      </w:r>
    </w:p>
    <w:p w14:paraId="7C57060E" w14:textId="245E981E" w:rsidR="00762510" w:rsidRDefault="00591717" w:rsidP="00FE630E">
      <w:pPr>
        <w:rPr>
          <w:rFonts w:ascii="Verdana" w:hAnsi="Verdana"/>
          <w:sz w:val="24"/>
          <w:szCs w:val="24"/>
        </w:rPr>
      </w:pPr>
      <w:r>
        <w:rPr>
          <w:rFonts w:ascii="Verdana" w:hAnsi="Verdana"/>
          <w:sz w:val="24"/>
          <w:szCs w:val="24"/>
        </w:rPr>
        <w:t>It is positive that interdepartmental</w:t>
      </w:r>
      <w:r w:rsidR="00341177">
        <w:rPr>
          <w:rFonts w:ascii="Verdana" w:hAnsi="Verdana"/>
          <w:sz w:val="24"/>
          <w:szCs w:val="24"/>
        </w:rPr>
        <w:t>-</w:t>
      </w:r>
      <w:r>
        <w:rPr>
          <w:rFonts w:ascii="Verdana" w:hAnsi="Verdana"/>
          <w:sz w:val="24"/>
          <w:szCs w:val="24"/>
        </w:rPr>
        <w:t xml:space="preserve">information sharing is </w:t>
      </w:r>
      <w:r w:rsidR="00FF2826">
        <w:rPr>
          <w:rFonts w:ascii="Verdana" w:hAnsi="Verdana"/>
          <w:sz w:val="24"/>
          <w:szCs w:val="24"/>
        </w:rPr>
        <w:t xml:space="preserve">taking place </w:t>
      </w:r>
      <w:r w:rsidR="0004030F">
        <w:rPr>
          <w:rFonts w:ascii="Verdana" w:hAnsi="Verdana"/>
          <w:sz w:val="24"/>
          <w:szCs w:val="24"/>
        </w:rPr>
        <w:t>through the Energy Poverty Action Plan Steering Group</w:t>
      </w:r>
      <w:r w:rsidR="0024749A">
        <w:rPr>
          <w:rFonts w:ascii="Verdana" w:hAnsi="Verdana"/>
          <w:sz w:val="24"/>
          <w:szCs w:val="24"/>
        </w:rPr>
        <w:t>, and that a public consultation and stakeholder forum to inform the revised Energy Poverty Action Plan took place in recent months</w:t>
      </w:r>
      <w:r w:rsidR="006C2DE2">
        <w:rPr>
          <w:rFonts w:ascii="Verdana" w:hAnsi="Verdana"/>
          <w:sz w:val="24"/>
          <w:szCs w:val="24"/>
        </w:rPr>
        <w:t xml:space="preserve">. </w:t>
      </w:r>
      <w:r w:rsidR="003E1F60">
        <w:rPr>
          <w:rFonts w:ascii="Verdana" w:hAnsi="Verdana"/>
          <w:sz w:val="24"/>
          <w:szCs w:val="24"/>
        </w:rPr>
        <w:t>Given the interconnected issues involved</w:t>
      </w:r>
      <w:r w:rsidR="0024749A">
        <w:rPr>
          <w:rFonts w:ascii="Verdana" w:hAnsi="Verdana"/>
          <w:sz w:val="24"/>
          <w:szCs w:val="24"/>
        </w:rPr>
        <w:t xml:space="preserve"> and the extent to which </w:t>
      </w:r>
      <w:r w:rsidR="0090753D">
        <w:rPr>
          <w:rFonts w:ascii="Verdana" w:hAnsi="Verdana"/>
          <w:sz w:val="24"/>
          <w:szCs w:val="24"/>
        </w:rPr>
        <w:t>energy poverty is a subset of poverty overall, and</w:t>
      </w:r>
      <w:r w:rsidR="00FD58A3">
        <w:rPr>
          <w:rFonts w:ascii="Verdana" w:hAnsi="Verdana"/>
          <w:sz w:val="24"/>
          <w:szCs w:val="24"/>
        </w:rPr>
        <w:t xml:space="preserve"> often</w:t>
      </w:r>
      <w:r w:rsidR="0090753D">
        <w:rPr>
          <w:rFonts w:ascii="Verdana" w:hAnsi="Verdana"/>
          <w:sz w:val="24"/>
          <w:szCs w:val="24"/>
        </w:rPr>
        <w:t xml:space="preserve"> arises as a result of inadequate income</w:t>
      </w:r>
      <w:r w:rsidR="003E1F60">
        <w:rPr>
          <w:rFonts w:ascii="Verdana" w:hAnsi="Verdana"/>
          <w:sz w:val="24"/>
          <w:szCs w:val="24"/>
        </w:rPr>
        <w:t xml:space="preserve">, </w:t>
      </w:r>
      <w:r w:rsidR="00BB79FF">
        <w:rPr>
          <w:rFonts w:ascii="Verdana" w:hAnsi="Verdana"/>
          <w:sz w:val="24"/>
          <w:szCs w:val="24"/>
        </w:rPr>
        <w:t>co</w:t>
      </w:r>
      <w:r w:rsidR="0068262A">
        <w:rPr>
          <w:rFonts w:ascii="Verdana" w:hAnsi="Verdana"/>
          <w:sz w:val="24"/>
          <w:szCs w:val="24"/>
        </w:rPr>
        <w:t>-</w:t>
      </w:r>
      <w:r w:rsidR="00BB79FF">
        <w:rPr>
          <w:rFonts w:ascii="Verdana" w:hAnsi="Verdana"/>
          <w:sz w:val="24"/>
          <w:szCs w:val="24"/>
        </w:rPr>
        <w:t>ordinated</w:t>
      </w:r>
      <w:r w:rsidR="003E1F60">
        <w:rPr>
          <w:rFonts w:ascii="Verdana" w:hAnsi="Verdana"/>
          <w:sz w:val="24"/>
          <w:szCs w:val="24"/>
        </w:rPr>
        <w:t xml:space="preserve"> and joined up policy making will be required </w:t>
      </w:r>
      <w:r w:rsidR="00072382">
        <w:rPr>
          <w:rFonts w:ascii="Verdana" w:hAnsi="Verdana"/>
          <w:sz w:val="24"/>
          <w:szCs w:val="24"/>
        </w:rPr>
        <w:t xml:space="preserve">on energy poverty </w:t>
      </w:r>
      <w:r w:rsidR="003E1F60">
        <w:rPr>
          <w:rFonts w:ascii="Verdana" w:hAnsi="Verdana"/>
          <w:sz w:val="24"/>
          <w:szCs w:val="24"/>
        </w:rPr>
        <w:t>across multiple Departments</w:t>
      </w:r>
      <w:r w:rsidR="002F3B3C">
        <w:rPr>
          <w:rFonts w:ascii="Verdana" w:hAnsi="Verdana"/>
          <w:sz w:val="24"/>
          <w:szCs w:val="24"/>
        </w:rPr>
        <w:t xml:space="preserve"> -</w:t>
      </w:r>
      <w:r w:rsidR="003E1F60">
        <w:rPr>
          <w:rFonts w:ascii="Verdana" w:hAnsi="Verdana"/>
          <w:sz w:val="24"/>
          <w:szCs w:val="24"/>
        </w:rPr>
        <w:t xml:space="preserve"> including </w:t>
      </w:r>
      <w:r w:rsidR="00BB79FF">
        <w:rPr>
          <w:rFonts w:ascii="Verdana" w:hAnsi="Verdana"/>
          <w:sz w:val="24"/>
          <w:szCs w:val="24"/>
        </w:rPr>
        <w:t xml:space="preserve">the </w:t>
      </w:r>
      <w:r w:rsidR="003E1F60">
        <w:rPr>
          <w:rFonts w:ascii="Verdana" w:hAnsi="Verdana"/>
          <w:sz w:val="24"/>
          <w:szCs w:val="24"/>
        </w:rPr>
        <w:t>D</w:t>
      </w:r>
      <w:r w:rsidR="00BB79FF">
        <w:rPr>
          <w:rFonts w:ascii="Verdana" w:hAnsi="Verdana"/>
          <w:sz w:val="24"/>
          <w:szCs w:val="24"/>
        </w:rPr>
        <w:t xml:space="preserve">epartment of </w:t>
      </w:r>
      <w:r w:rsidR="003E1F60">
        <w:rPr>
          <w:rFonts w:ascii="Verdana" w:hAnsi="Verdana"/>
          <w:sz w:val="24"/>
          <w:szCs w:val="24"/>
        </w:rPr>
        <w:t>S</w:t>
      </w:r>
      <w:r w:rsidR="00BB79FF">
        <w:rPr>
          <w:rFonts w:ascii="Verdana" w:hAnsi="Verdana"/>
          <w:sz w:val="24"/>
          <w:szCs w:val="24"/>
        </w:rPr>
        <w:t>ocial Protection</w:t>
      </w:r>
      <w:r w:rsidR="00442376">
        <w:rPr>
          <w:rFonts w:ascii="Verdana" w:hAnsi="Verdana"/>
          <w:sz w:val="24"/>
          <w:szCs w:val="24"/>
        </w:rPr>
        <w:t xml:space="preserve"> and</w:t>
      </w:r>
      <w:r w:rsidR="003E1F60">
        <w:rPr>
          <w:rFonts w:ascii="Verdana" w:hAnsi="Verdana"/>
          <w:sz w:val="24"/>
          <w:szCs w:val="24"/>
        </w:rPr>
        <w:t xml:space="preserve"> </w:t>
      </w:r>
      <w:r w:rsidR="00BB79FF">
        <w:rPr>
          <w:rFonts w:ascii="Verdana" w:hAnsi="Verdana"/>
          <w:sz w:val="24"/>
          <w:szCs w:val="24"/>
        </w:rPr>
        <w:t xml:space="preserve">the </w:t>
      </w:r>
      <w:r w:rsidR="003E1F60">
        <w:rPr>
          <w:rFonts w:ascii="Verdana" w:hAnsi="Verdana"/>
          <w:sz w:val="24"/>
          <w:szCs w:val="24"/>
        </w:rPr>
        <w:t>D</w:t>
      </w:r>
      <w:r w:rsidR="00442376">
        <w:rPr>
          <w:rFonts w:ascii="Verdana" w:hAnsi="Verdana"/>
          <w:sz w:val="24"/>
          <w:szCs w:val="24"/>
        </w:rPr>
        <w:t xml:space="preserve">epartment of </w:t>
      </w:r>
      <w:r w:rsidR="003E1F60">
        <w:rPr>
          <w:rFonts w:ascii="Verdana" w:hAnsi="Verdana"/>
          <w:sz w:val="24"/>
          <w:szCs w:val="24"/>
        </w:rPr>
        <w:t>E</w:t>
      </w:r>
      <w:r w:rsidR="00442376">
        <w:rPr>
          <w:rFonts w:ascii="Verdana" w:hAnsi="Verdana"/>
          <w:sz w:val="24"/>
          <w:szCs w:val="24"/>
        </w:rPr>
        <w:t xml:space="preserve">nvironment, </w:t>
      </w:r>
      <w:r w:rsidR="003E1F60">
        <w:rPr>
          <w:rFonts w:ascii="Verdana" w:hAnsi="Verdana"/>
          <w:sz w:val="24"/>
          <w:szCs w:val="24"/>
        </w:rPr>
        <w:t>C</w:t>
      </w:r>
      <w:r w:rsidR="00442376">
        <w:rPr>
          <w:rFonts w:ascii="Verdana" w:hAnsi="Verdana"/>
          <w:sz w:val="24"/>
          <w:szCs w:val="24"/>
        </w:rPr>
        <w:t>limate and</w:t>
      </w:r>
      <w:r w:rsidR="00D0265C">
        <w:rPr>
          <w:rFonts w:ascii="Verdana" w:hAnsi="Verdana"/>
          <w:sz w:val="24"/>
          <w:szCs w:val="24"/>
        </w:rPr>
        <w:t xml:space="preserve"> </w:t>
      </w:r>
      <w:r w:rsidR="003E1F60">
        <w:rPr>
          <w:rFonts w:ascii="Verdana" w:hAnsi="Verdana"/>
          <w:sz w:val="24"/>
          <w:szCs w:val="24"/>
        </w:rPr>
        <w:t>C</w:t>
      </w:r>
      <w:r w:rsidR="00442376">
        <w:rPr>
          <w:rFonts w:ascii="Verdana" w:hAnsi="Verdana"/>
          <w:sz w:val="24"/>
          <w:szCs w:val="24"/>
        </w:rPr>
        <w:t>ommunications</w:t>
      </w:r>
      <w:r w:rsidR="00053B53">
        <w:rPr>
          <w:rFonts w:ascii="Verdana" w:hAnsi="Verdana"/>
          <w:sz w:val="24"/>
          <w:szCs w:val="24"/>
        </w:rPr>
        <w:t>.</w:t>
      </w:r>
      <w:r w:rsidR="00442376">
        <w:rPr>
          <w:rFonts w:ascii="Verdana" w:hAnsi="Verdana"/>
          <w:sz w:val="24"/>
          <w:szCs w:val="24"/>
        </w:rPr>
        <w:t xml:space="preserve"> </w:t>
      </w:r>
    </w:p>
    <w:p w14:paraId="69A8E8A7" w14:textId="3BAEFF65" w:rsidR="00227DB5" w:rsidRPr="004F5DBB" w:rsidRDefault="009F71A0" w:rsidP="004F5DBB">
      <w:pPr>
        <w:rPr>
          <w:rFonts w:ascii="Verdana" w:hAnsi="Verdana"/>
          <w:sz w:val="24"/>
          <w:szCs w:val="24"/>
        </w:rPr>
      </w:pPr>
      <w:r>
        <w:rPr>
          <w:rFonts w:ascii="Verdana" w:hAnsi="Verdana"/>
          <w:sz w:val="24"/>
          <w:szCs w:val="24"/>
        </w:rPr>
        <w:t xml:space="preserve">While energy prices are declining, MESL and others have shown that they still remain </w:t>
      </w:r>
      <w:r w:rsidR="00A03125">
        <w:rPr>
          <w:rFonts w:ascii="Verdana" w:hAnsi="Verdana"/>
          <w:sz w:val="24"/>
          <w:szCs w:val="24"/>
        </w:rPr>
        <w:t xml:space="preserve">significantly </w:t>
      </w:r>
      <w:r>
        <w:rPr>
          <w:rFonts w:ascii="Verdana" w:hAnsi="Verdana"/>
          <w:sz w:val="24"/>
          <w:szCs w:val="24"/>
        </w:rPr>
        <w:t>highe</w:t>
      </w:r>
      <w:r w:rsidR="00234983">
        <w:rPr>
          <w:rFonts w:ascii="Verdana" w:hAnsi="Verdana"/>
          <w:sz w:val="24"/>
          <w:szCs w:val="24"/>
        </w:rPr>
        <w:t xml:space="preserve">r, </w:t>
      </w:r>
      <w:r>
        <w:rPr>
          <w:rFonts w:ascii="Verdana" w:hAnsi="Verdana"/>
          <w:sz w:val="24"/>
          <w:szCs w:val="24"/>
        </w:rPr>
        <w:t xml:space="preserve">and </w:t>
      </w:r>
      <w:r w:rsidR="00F20DC2">
        <w:rPr>
          <w:rFonts w:ascii="Verdana" w:hAnsi="Verdana"/>
          <w:sz w:val="24"/>
          <w:szCs w:val="24"/>
        </w:rPr>
        <w:t>unfortunately</w:t>
      </w:r>
      <w:r>
        <w:rPr>
          <w:rFonts w:ascii="Verdana" w:hAnsi="Verdana"/>
          <w:sz w:val="24"/>
          <w:szCs w:val="24"/>
        </w:rPr>
        <w:t xml:space="preserve"> </w:t>
      </w:r>
      <w:r w:rsidR="006C6300">
        <w:rPr>
          <w:rFonts w:ascii="Verdana" w:hAnsi="Verdana"/>
          <w:sz w:val="24"/>
          <w:szCs w:val="24"/>
        </w:rPr>
        <w:t>prices</w:t>
      </w:r>
      <w:r>
        <w:rPr>
          <w:rFonts w:ascii="Verdana" w:hAnsi="Verdana"/>
          <w:sz w:val="24"/>
          <w:szCs w:val="24"/>
        </w:rPr>
        <w:t xml:space="preserve"> will not reduce back to pre</w:t>
      </w:r>
      <w:r w:rsidR="001E69A5">
        <w:rPr>
          <w:rFonts w:ascii="Verdana" w:hAnsi="Verdana"/>
          <w:sz w:val="24"/>
          <w:szCs w:val="24"/>
        </w:rPr>
        <w:t xml:space="preserve">-crisis levels. In this context </w:t>
      </w:r>
      <w:r w:rsidR="000D552C">
        <w:rPr>
          <w:rFonts w:ascii="Verdana" w:hAnsi="Verdana"/>
          <w:sz w:val="24"/>
          <w:szCs w:val="24"/>
        </w:rPr>
        <w:t xml:space="preserve">supports can and should be </w:t>
      </w:r>
      <w:r w:rsidR="00567DAE" w:rsidRPr="0079760A">
        <w:rPr>
          <w:rFonts w:ascii="Verdana" w:hAnsi="Verdana"/>
          <w:b/>
          <w:bCs/>
          <w:sz w:val="24"/>
          <w:szCs w:val="24"/>
        </w:rPr>
        <w:t>more carefully targeted</w:t>
      </w:r>
      <w:r w:rsidR="00476BDB" w:rsidRPr="0079760A">
        <w:rPr>
          <w:rFonts w:ascii="Verdana" w:hAnsi="Verdana"/>
          <w:b/>
          <w:bCs/>
          <w:sz w:val="24"/>
          <w:szCs w:val="24"/>
        </w:rPr>
        <w:t xml:space="preserve"> this year than last year, in order to use resources efficiently, and</w:t>
      </w:r>
      <w:r w:rsidR="00567DAE" w:rsidRPr="0079760A">
        <w:rPr>
          <w:rFonts w:ascii="Verdana" w:hAnsi="Verdana"/>
          <w:b/>
          <w:bCs/>
          <w:sz w:val="24"/>
          <w:szCs w:val="24"/>
        </w:rPr>
        <w:t xml:space="preserve"> to support those </w:t>
      </w:r>
      <w:r w:rsidR="008A0B58" w:rsidRPr="0079760A">
        <w:rPr>
          <w:rFonts w:ascii="Verdana" w:hAnsi="Verdana"/>
          <w:b/>
          <w:bCs/>
          <w:sz w:val="24"/>
          <w:szCs w:val="24"/>
        </w:rPr>
        <w:t>with</w:t>
      </w:r>
      <w:r w:rsidR="00567DAE" w:rsidRPr="0079760A">
        <w:rPr>
          <w:rFonts w:ascii="Verdana" w:hAnsi="Verdana"/>
          <w:b/>
          <w:bCs/>
          <w:sz w:val="24"/>
          <w:szCs w:val="24"/>
        </w:rPr>
        <w:t xml:space="preserve"> higher levels of </w:t>
      </w:r>
      <w:r w:rsidR="008A0B58" w:rsidRPr="0079760A">
        <w:rPr>
          <w:rFonts w:ascii="Verdana" w:hAnsi="Verdana"/>
          <w:b/>
          <w:bCs/>
          <w:sz w:val="24"/>
          <w:szCs w:val="24"/>
        </w:rPr>
        <w:t>e</w:t>
      </w:r>
      <w:r w:rsidR="00567DAE" w:rsidRPr="0079760A">
        <w:rPr>
          <w:rFonts w:ascii="Verdana" w:hAnsi="Verdana"/>
          <w:b/>
          <w:bCs/>
          <w:sz w:val="24"/>
          <w:szCs w:val="24"/>
        </w:rPr>
        <w:t xml:space="preserve">nergy </w:t>
      </w:r>
      <w:r w:rsidR="008A0B58" w:rsidRPr="0079760A">
        <w:rPr>
          <w:rFonts w:ascii="Verdana" w:hAnsi="Verdana"/>
          <w:b/>
          <w:bCs/>
          <w:sz w:val="24"/>
          <w:szCs w:val="24"/>
        </w:rPr>
        <w:t>p</w:t>
      </w:r>
      <w:r w:rsidR="00567DAE" w:rsidRPr="0079760A">
        <w:rPr>
          <w:rFonts w:ascii="Verdana" w:hAnsi="Verdana"/>
          <w:b/>
          <w:bCs/>
          <w:sz w:val="24"/>
          <w:szCs w:val="24"/>
        </w:rPr>
        <w:t>overty, like disabled people</w:t>
      </w:r>
      <w:r w:rsidR="00567DAE">
        <w:rPr>
          <w:rFonts w:ascii="Verdana" w:hAnsi="Verdana"/>
          <w:sz w:val="24"/>
          <w:szCs w:val="24"/>
        </w:rPr>
        <w:t>.</w:t>
      </w:r>
      <w:r w:rsidR="000D552C">
        <w:rPr>
          <w:rFonts w:ascii="Verdana" w:hAnsi="Verdana"/>
          <w:sz w:val="24"/>
          <w:szCs w:val="24"/>
        </w:rPr>
        <w:t xml:space="preserve"> </w:t>
      </w:r>
      <w:r w:rsidR="00234983">
        <w:rPr>
          <w:rFonts w:ascii="Verdana" w:hAnsi="Verdana"/>
          <w:sz w:val="24"/>
          <w:szCs w:val="24"/>
        </w:rPr>
        <w:t xml:space="preserve">In this context </w:t>
      </w:r>
      <w:r w:rsidR="000D552C">
        <w:rPr>
          <w:rFonts w:ascii="Verdana" w:hAnsi="Verdana"/>
          <w:sz w:val="24"/>
          <w:szCs w:val="24"/>
        </w:rPr>
        <w:t xml:space="preserve">DFI made a </w:t>
      </w:r>
      <w:r w:rsidR="000D552C">
        <w:rPr>
          <w:rFonts w:ascii="Verdana" w:hAnsi="Verdana"/>
          <w:sz w:val="24"/>
          <w:szCs w:val="24"/>
        </w:rPr>
        <w:lastRenderedPageBreak/>
        <w:t>submission to</w:t>
      </w:r>
      <w:r w:rsidR="007F011F">
        <w:rPr>
          <w:rFonts w:ascii="Verdana" w:hAnsi="Verdana"/>
          <w:sz w:val="24"/>
          <w:szCs w:val="24"/>
        </w:rPr>
        <w:t xml:space="preserve"> </w:t>
      </w:r>
      <w:r w:rsidR="003A1984">
        <w:rPr>
          <w:rFonts w:ascii="Verdana" w:hAnsi="Verdana"/>
          <w:sz w:val="24"/>
          <w:szCs w:val="24"/>
        </w:rPr>
        <w:t xml:space="preserve">the </w:t>
      </w:r>
      <w:r w:rsidR="007F011F">
        <w:rPr>
          <w:rFonts w:ascii="Verdana" w:hAnsi="Verdana"/>
          <w:sz w:val="24"/>
          <w:szCs w:val="24"/>
        </w:rPr>
        <w:t>recent</w:t>
      </w:r>
      <w:r w:rsidR="000D552C">
        <w:rPr>
          <w:rFonts w:ascii="Verdana" w:hAnsi="Verdana"/>
          <w:sz w:val="24"/>
          <w:szCs w:val="24"/>
        </w:rPr>
        <w:t xml:space="preserve"> the Energy Poverty Action Plan consultation</w:t>
      </w:r>
      <w:r w:rsidR="002C15E0">
        <w:rPr>
          <w:rFonts w:ascii="Verdana" w:hAnsi="Verdana"/>
          <w:sz w:val="24"/>
          <w:szCs w:val="24"/>
        </w:rPr>
        <w:t>.</w:t>
      </w:r>
      <w:r w:rsidR="000D552C">
        <w:rPr>
          <w:rFonts w:ascii="Verdana" w:hAnsi="Verdana"/>
          <w:sz w:val="24"/>
          <w:szCs w:val="24"/>
        </w:rPr>
        <w:t xml:space="preserve"> Recommendations in that submission which are relevant to the Department of Social Protection include the following:</w:t>
      </w:r>
    </w:p>
    <w:p w14:paraId="0FF23ADE" w14:textId="77777777" w:rsidR="00227DB5" w:rsidRDefault="00227DB5" w:rsidP="00227DB5">
      <w:pPr>
        <w:pStyle w:val="ListParagraph"/>
        <w:numPr>
          <w:ilvl w:val="0"/>
          <w:numId w:val="29"/>
        </w:numPr>
        <w:rPr>
          <w:rFonts w:ascii="Verdana" w:hAnsi="Verdana"/>
          <w:sz w:val="24"/>
          <w:szCs w:val="24"/>
        </w:rPr>
      </w:pPr>
      <w:r>
        <w:rPr>
          <w:rFonts w:ascii="Verdana" w:hAnsi="Verdana"/>
          <w:sz w:val="24"/>
          <w:szCs w:val="24"/>
        </w:rPr>
        <w:t>Expand the Fuel Allowance to provide it to all people on a disability-related social protection payment. The expansion of the Fuel Allowance to over 70s last year clearly had a positive impact on poverty levels, so this should now be extended out further to groups like disabled people who are most at risk of energy poverty.</w:t>
      </w:r>
    </w:p>
    <w:p w14:paraId="5AC91536" w14:textId="77777777" w:rsidR="00227DB5" w:rsidRPr="006F57D8" w:rsidRDefault="00227DB5" w:rsidP="00227DB5">
      <w:pPr>
        <w:pStyle w:val="ListParagraph"/>
        <w:numPr>
          <w:ilvl w:val="0"/>
          <w:numId w:val="29"/>
        </w:numPr>
        <w:rPr>
          <w:rFonts w:ascii="Verdana" w:hAnsi="Verdana"/>
          <w:sz w:val="24"/>
          <w:szCs w:val="24"/>
        </w:rPr>
      </w:pPr>
      <w:r>
        <w:rPr>
          <w:rFonts w:ascii="Verdana" w:hAnsi="Verdana"/>
          <w:sz w:val="24"/>
          <w:szCs w:val="24"/>
        </w:rPr>
        <w:t>Restore the purchasing power of the Fuel Allowance as per recommendations of SVP, MESL and other organisations.</w:t>
      </w:r>
    </w:p>
    <w:p w14:paraId="6F3FAC27" w14:textId="76F77952" w:rsidR="00227DB5" w:rsidRPr="00F8669C" w:rsidRDefault="00227DB5" w:rsidP="00227DB5">
      <w:pPr>
        <w:pStyle w:val="ListParagraph"/>
        <w:numPr>
          <w:ilvl w:val="0"/>
          <w:numId w:val="29"/>
        </w:numPr>
        <w:rPr>
          <w:rFonts w:ascii="Verdana" w:hAnsi="Verdana"/>
          <w:sz w:val="24"/>
          <w:szCs w:val="24"/>
        </w:rPr>
      </w:pPr>
      <w:r>
        <w:rPr>
          <w:rFonts w:ascii="Verdana" w:hAnsi="Verdana"/>
          <w:sz w:val="24"/>
          <w:szCs w:val="24"/>
        </w:rPr>
        <w:t>Provide a h</w:t>
      </w:r>
      <w:r w:rsidRPr="005C42A5">
        <w:rPr>
          <w:rFonts w:ascii="Verdana" w:hAnsi="Verdana"/>
          <w:sz w:val="24"/>
          <w:szCs w:val="24"/>
        </w:rPr>
        <w:t xml:space="preserve">igher </w:t>
      </w:r>
      <w:r>
        <w:rPr>
          <w:rFonts w:ascii="Verdana" w:hAnsi="Verdana"/>
          <w:sz w:val="24"/>
          <w:szCs w:val="24"/>
        </w:rPr>
        <w:t xml:space="preserve">level of </w:t>
      </w:r>
      <w:r w:rsidRPr="005C42A5">
        <w:rPr>
          <w:rFonts w:ascii="Verdana" w:hAnsi="Verdana"/>
          <w:sz w:val="24"/>
          <w:szCs w:val="24"/>
        </w:rPr>
        <w:t>F</w:t>
      </w:r>
      <w:r>
        <w:rPr>
          <w:rFonts w:ascii="Verdana" w:hAnsi="Verdana"/>
          <w:sz w:val="24"/>
          <w:szCs w:val="24"/>
        </w:rPr>
        <w:t xml:space="preserve">uel </w:t>
      </w:r>
      <w:r w:rsidRPr="005C42A5">
        <w:rPr>
          <w:rFonts w:ascii="Verdana" w:hAnsi="Verdana"/>
          <w:sz w:val="24"/>
          <w:szCs w:val="24"/>
        </w:rPr>
        <w:t>A</w:t>
      </w:r>
      <w:r>
        <w:rPr>
          <w:rFonts w:ascii="Verdana" w:hAnsi="Verdana"/>
          <w:sz w:val="24"/>
          <w:szCs w:val="24"/>
        </w:rPr>
        <w:t>llowance</w:t>
      </w:r>
      <w:r w:rsidRPr="005C42A5">
        <w:rPr>
          <w:rFonts w:ascii="Verdana" w:hAnsi="Verdana"/>
          <w:sz w:val="24"/>
          <w:szCs w:val="24"/>
        </w:rPr>
        <w:t xml:space="preserve"> </w:t>
      </w:r>
      <w:r>
        <w:rPr>
          <w:rFonts w:ascii="Verdana" w:hAnsi="Verdana"/>
          <w:sz w:val="24"/>
          <w:szCs w:val="24"/>
        </w:rPr>
        <w:t>all year round</w:t>
      </w:r>
      <w:r w:rsidRPr="005C42A5">
        <w:rPr>
          <w:rFonts w:ascii="Verdana" w:hAnsi="Verdana"/>
          <w:sz w:val="24"/>
          <w:szCs w:val="24"/>
        </w:rPr>
        <w:t xml:space="preserve"> for those with</w:t>
      </w:r>
      <w:r>
        <w:rPr>
          <w:rFonts w:ascii="Verdana" w:hAnsi="Verdana"/>
          <w:sz w:val="24"/>
          <w:szCs w:val="24"/>
        </w:rPr>
        <w:t xml:space="preserve"> higher energy usage due to a medical and/or disability need</w:t>
      </w:r>
      <w:r w:rsidR="009C3079">
        <w:rPr>
          <w:rFonts w:ascii="Verdana" w:hAnsi="Verdana"/>
          <w:sz w:val="24"/>
          <w:szCs w:val="24"/>
        </w:rPr>
        <w:t>.</w:t>
      </w:r>
    </w:p>
    <w:p w14:paraId="58730541" w14:textId="0AF632F7" w:rsidR="00227DB5" w:rsidRDefault="00227DB5" w:rsidP="002E258D">
      <w:pPr>
        <w:pStyle w:val="ListParagraph"/>
        <w:numPr>
          <w:ilvl w:val="0"/>
          <w:numId w:val="29"/>
        </w:numPr>
        <w:rPr>
          <w:rFonts w:ascii="Verdana" w:hAnsi="Verdana"/>
          <w:sz w:val="24"/>
          <w:szCs w:val="24"/>
        </w:rPr>
      </w:pPr>
      <w:r>
        <w:rPr>
          <w:rFonts w:ascii="Verdana" w:hAnsi="Verdana"/>
          <w:sz w:val="24"/>
          <w:szCs w:val="24"/>
        </w:rPr>
        <w:t xml:space="preserve">Review, analyse and strengthen the provision of the Heating Supplement, particularly in the context of the </w:t>
      </w:r>
      <w:proofErr w:type="spellStart"/>
      <w:r>
        <w:rPr>
          <w:rFonts w:ascii="Verdana" w:hAnsi="Verdana"/>
          <w:sz w:val="24"/>
          <w:szCs w:val="24"/>
        </w:rPr>
        <w:t>Indecon</w:t>
      </w:r>
      <w:proofErr w:type="spellEnd"/>
      <w:r>
        <w:rPr>
          <w:rFonts w:ascii="Verdana" w:hAnsi="Verdana"/>
          <w:sz w:val="24"/>
          <w:szCs w:val="24"/>
        </w:rPr>
        <w:t xml:space="preserve"> report. Increase awareness of this support in the community. </w:t>
      </w:r>
    </w:p>
    <w:p w14:paraId="0A153977" w14:textId="04247BD1" w:rsidR="009C3079" w:rsidRPr="009C3079" w:rsidRDefault="00A020F3" w:rsidP="009C3079">
      <w:pPr>
        <w:rPr>
          <w:rFonts w:ascii="Verdana" w:hAnsi="Verdana"/>
          <w:sz w:val="24"/>
          <w:szCs w:val="24"/>
        </w:rPr>
      </w:pPr>
      <w:hyperlink r:id="rId15" w:history="1">
        <w:r w:rsidR="00EC0019">
          <w:rPr>
            <w:rStyle w:val="Hyperlink"/>
            <w:rFonts w:ascii="Verdana" w:hAnsi="Verdana"/>
            <w:sz w:val="24"/>
            <w:szCs w:val="24"/>
          </w:rPr>
          <w:t>R</w:t>
        </w:r>
        <w:r w:rsidR="009C3079" w:rsidRPr="00711FF6">
          <w:rPr>
            <w:rStyle w:val="Hyperlink"/>
            <w:rFonts w:ascii="Verdana" w:hAnsi="Verdana"/>
            <w:sz w:val="24"/>
            <w:szCs w:val="24"/>
          </w:rPr>
          <w:t>ead DFI’s sub</w:t>
        </w:r>
        <w:r w:rsidR="00535B88" w:rsidRPr="00711FF6">
          <w:rPr>
            <w:rStyle w:val="Hyperlink"/>
            <w:rFonts w:ascii="Verdana" w:hAnsi="Verdana"/>
            <w:sz w:val="24"/>
            <w:szCs w:val="24"/>
          </w:rPr>
          <w:t>mission on Energy Poverty here</w:t>
        </w:r>
      </w:hyperlink>
      <w:r w:rsidR="00711FF6">
        <w:rPr>
          <w:rFonts w:ascii="Verdana" w:hAnsi="Verdana"/>
          <w:sz w:val="24"/>
          <w:szCs w:val="24"/>
        </w:rPr>
        <w:t>.</w:t>
      </w:r>
    </w:p>
    <w:p w14:paraId="264FA296" w14:textId="0EA00E74" w:rsidR="004E7DFB" w:rsidRPr="00F5696B" w:rsidRDefault="00B72887" w:rsidP="00F5696B">
      <w:pPr>
        <w:pStyle w:val="Heading1"/>
        <w:rPr>
          <w:sz w:val="24"/>
          <w:szCs w:val="24"/>
          <w:lang w:val="en-GB"/>
        </w:rPr>
      </w:pPr>
      <w:bookmarkStart w:id="16" w:name="_Toc171069208"/>
      <w:r w:rsidRPr="00F5696B">
        <w:rPr>
          <w:sz w:val="24"/>
          <w:szCs w:val="24"/>
          <w:lang w:val="en-GB"/>
        </w:rPr>
        <w:t>ESRI</w:t>
      </w:r>
      <w:r w:rsidR="001A10C1" w:rsidRPr="00F5696B">
        <w:rPr>
          <w:sz w:val="24"/>
          <w:szCs w:val="24"/>
          <w:lang w:val="en-GB"/>
        </w:rPr>
        <w:t xml:space="preserve"> Recommendations</w:t>
      </w:r>
      <w:r w:rsidR="00BC5AEB" w:rsidRPr="00F5696B">
        <w:rPr>
          <w:sz w:val="24"/>
          <w:szCs w:val="24"/>
          <w:lang w:val="en-GB"/>
        </w:rPr>
        <w:t xml:space="preserve"> and Report</w:t>
      </w:r>
      <w:r w:rsidR="003C1EF7" w:rsidRPr="00F5696B">
        <w:rPr>
          <w:sz w:val="24"/>
          <w:szCs w:val="24"/>
          <w:lang w:val="en-GB"/>
        </w:rPr>
        <w:t>s</w:t>
      </w:r>
      <w:bookmarkEnd w:id="16"/>
    </w:p>
    <w:p w14:paraId="5E57050C" w14:textId="1A489E73" w:rsidR="00296BA4" w:rsidRDefault="00146328" w:rsidP="00F7569E">
      <w:pPr>
        <w:rPr>
          <w:rFonts w:ascii="Verdana" w:hAnsi="Verdana"/>
          <w:sz w:val="24"/>
          <w:szCs w:val="24"/>
          <w:lang w:val="en-GB"/>
        </w:rPr>
      </w:pPr>
      <w:r>
        <w:rPr>
          <w:rFonts w:ascii="Verdana" w:hAnsi="Verdana"/>
          <w:sz w:val="24"/>
          <w:szCs w:val="24"/>
          <w:lang w:val="en-GB"/>
        </w:rPr>
        <w:t>A</w:t>
      </w:r>
      <w:r w:rsidR="00AB7809">
        <w:rPr>
          <w:rFonts w:ascii="Verdana" w:hAnsi="Verdana"/>
          <w:sz w:val="24"/>
          <w:szCs w:val="24"/>
          <w:lang w:val="en-GB"/>
        </w:rPr>
        <w:t xml:space="preserve"> number of </w:t>
      </w:r>
      <w:r w:rsidR="001348C6">
        <w:rPr>
          <w:rFonts w:ascii="Verdana" w:hAnsi="Verdana"/>
          <w:sz w:val="24"/>
          <w:szCs w:val="24"/>
          <w:lang w:val="en-GB"/>
        </w:rPr>
        <w:t xml:space="preserve">recent </w:t>
      </w:r>
      <w:r>
        <w:rPr>
          <w:rFonts w:ascii="Verdana" w:hAnsi="Verdana"/>
          <w:sz w:val="24"/>
          <w:szCs w:val="24"/>
          <w:lang w:val="en-GB"/>
        </w:rPr>
        <w:t xml:space="preserve">ESRI </w:t>
      </w:r>
      <w:r w:rsidR="00895570">
        <w:rPr>
          <w:rFonts w:ascii="Verdana" w:hAnsi="Verdana"/>
          <w:sz w:val="24"/>
          <w:szCs w:val="24"/>
          <w:lang w:val="en-GB"/>
        </w:rPr>
        <w:t>reports are highly relevant</w:t>
      </w:r>
      <w:r w:rsidR="0034418D">
        <w:rPr>
          <w:rFonts w:ascii="Verdana" w:hAnsi="Verdana"/>
          <w:sz w:val="24"/>
          <w:szCs w:val="24"/>
          <w:lang w:val="en-GB"/>
        </w:rPr>
        <w:t>, as is the ESRI’s Budget 2024</w:t>
      </w:r>
      <w:r w:rsidR="00385D05">
        <w:rPr>
          <w:rFonts w:ascii="Verdana" w:hAnsi="Verdana"/>
          <w:sz w:val="24"/>
          <w:szCs w:val="24"/>
          <w:lang w:val="en-GB"/>
        </w:rPr>
        <w:t xml:space="preserve"> analysis</w:t>
      </w:r>
      <w:r w:rsidR="004863AC">
        <w:rPr>
          <w:rFonts w:ascii="Verdana" w:hAnsi="Verdana"/>
          <w:sz w:val="24"/>
          <w:szCs w:val="24"/>
          <w:lang w:val="en-GB"/>
        </w:rPr>
        <w:t xml:space="preserve"> - these</w:t>
      </w:r>
      <w:r w:rsidR="0034418D">
        <w:rPr>
          <w:rFonts w:ascii="Verdana" w:hAnsi="Verdana"/>
          <w:sz w:val="24"/>
          <w:szCs w:val="24"/>
          <w:lang w:val="en-GB"/>
        </w:rPr>
        <w:t xml:space="preserve"> </w:t>
      </w:r>
      <w:r w:rsidR="00AB7809">
        <w:rPr>
          <w:rFonts w:ascii="Verdana" w:hAnsi="Verdana"/>
          <w:sz w:val="24"/>
          <w:szCs w:val="24"/>
          <w:lang w:val="en-GB"/>
        </w:rPr>
        <w:t>should be considered when deciding disability social protection measures for Budget 202</w:t>
      </w:r>
      <w:r w:rsidR="00C11955">
        <w:rPr>
          <w:rFonts w:ascii="Verdana" w:hAnsi="Verdana"/>
          <w:sz w:val="24"/>
          <w:szCs w:val="24"/>
          <w:lang w:val="en-GB"/>
        </w:rPr>
        <w:t>5</w:t>
      </w:r>
      <w:r w:rsidR="00895570">
        <w:rPr>
          <w:rFonts w:ascii="Verdana" w:hAnsi="Verdana"/>
          <w:sz w:val="24"/>
          <w:szCs w:val="24"/>
          <w:lang w:val="en-GB"/>
        </w:rPr>
        <w:t>.</w:t>
      </w:r>
      <w:r w:rsidR="00DB7478">
        <w:rPr>
          <w:rFonts w:ascii="Verdana" w:hAnsi="Verdana"/>
          <w:sz w:val="24"/>
          <w:szCs w:val="24"/>
          <w:lang w:val="en-GB"/>
        </w:rPr>
        <w:t xml:space="preserve"> 2023 ESRI publications highlighted in last year’s submission </w:t>
      </w:r>
      <w:r w:rsidR="00385D05">
        <w:rPr>
          <w:rFonts w:ascii="Verdana" w:hAnsi="Verdana"/>
          <w:sz w:val="24"/>
          <w:szCs w:val="24"/>
          <w:lang w:val="en-GB"/>
        </w:rPr>
        <w:t>also</w:t>
      </w:r>
      <w:r w:rsidR="00DB7478">
        <w:rPr>
          <w:rFonts w:ascii="Verdana" w:hAnsi="Verdana"/>
          <w:sz w:val="24"/>
          <w:szCs w:val="24"/>
          <w:lang w:val="en-GB"/>
        </w:rPr>
        <w:t xml:space="preserve"> remain relevant</w:t>
      </w:r>
      <w:r w:rsidR="0034418D">
        <w:rPr>
          <w:rFonts w:ascii="Verdana" w:hAnsi="Verdana"/>
          <w:sz w:val="24"/>
          <w:szCs w:val="24"/>
          <w:lang w:val="en-GB"/>
        </w:rPr>
        <w:t>.</w:t>
      </w:r>
      <w:r w:rsidR="00DB7478">
        <w:rPr>
          <w:rStyle w:val="FootnoteReference"/>
          <w:rFonts w:ascii="Verdana" w:hAnsi="Verdana"/>
          <w:sz w:val="24"/>
          <w:szCs w:val="24"/>
          <w:lang w:val="en-GB"/>
        </w:rPr>
        <w:footnoteReference w:id="38"/>
      </w:r>
    </w:p>
    <w:p w14:paraId="438E449C" w14:textId="0CDA184C" w:rsidR="004B0316" w:rsidRDefault="00E44957" w:rsidP="000F236C">
      <w:pPr>
        <w:rPr>
          <w:rFonts w:ascii="Verdana" w:hAnsi="Verdana"/>
          <w:sz w:val="24"/>
          <w:szCs w:val="24"/>
        </w:rPr>
      </w:pPr>
      <w:r w:rsidRPr="4028036C">
        <w:rPr>
          <w:rFonts w:ascii="Verdana" w:hAnsi="Verdana"/>
          <w:sz w:val="24"/>
          <w:szCs w:val="24"/>
        </w:rPr>
        <w:t>A May 2024 report outlines how families with disabilities are more likely to live in inadequate housing and struggle with energy poverty. As the authors write “</w:t>
      </w:r>
      <w:r w:rsidR="003F2154">
        <w:rPr>
          <w:rFonts w:ascii="Verdana" w:hAnsi="Verdana"/>
          <w:sz w:val="24"/>
          <w:szCs w:val="24"/>
        </w:rPr>
        <w:t>t</w:t>
      </w:r>
      <w:r w:rsidR="004B0316" w:rsidRPr="4028036C">
        <w:rPr>
          <w:rFonts w:ascii="Verdana" w:hAnsi="Verdana"/>
          <w:sz w:val="24"/>
          <w:szCs w:val="24"/>
        </w:rPr>
        <w:t xml:space="preserve">he findings suggest the need </w:t>
      </w:r>
      <w:r w:rsidR="00CA531B">
        <w:rPr>
          <w:rFonts w:ascii="Verdana" w:hAnsi="Verdana"/>
          <w:sz w:val="24"/>
          <w:szCs w:val="24"/>
        </w:rPr>
        <w:t xml:space="preserve">for […] </w:t>
      </w:r>
      <w:r w:rsidR="004B0316" w:rsidRPr="4028036C">
        <w:rPr>
          <w:rFonts w:ascii="Verdana" w:hAnsi="Verdana"/>
          <w:sz w:val="24"/>
          <w:szCs w:val="24"/>
        </w:rPr>
        <w:t xml:space="preserve">targeted financial assistance to meet energy costs. </w:t>
      </w:r>
      <w:r w:rsidR="004B0316" w:rsidRPr="0091514B">
        <w:rPr>
          <w:rFonts w:ascii="Verdana" w:hAnsi="Verdana"/>
          <w:b/>
          <w:bCs/>
          <w:sz w:val="24"/>
          <w:szCs w:val="24"/>
        </w:rPr>
        <w:t xml:space="preserve">Income supports </w:t>
      </w:r>
      <w:r w:rsidR="00D1518D" w:rsidRPr="0091514B">
        <w:rPr>
          <w:rFonts w:ascii="Verdana" w:hAnsi="Verdana"/>
          <w:b/>
          <w:bCs/>
          <w:sz w:val="24"/>
          <w:szCs w:val="24"/>
        </w:rPr>
        <w:t>[…]</w:t>
      </w:r>
      <w:r w:rsidR="004B0316" w:rsidRPr="0091514B">
        <w:rPr>
          <w:rFonts w:ascii="Verdana" w:hAnsi="Verdana"/>
          <w:b/>
          <w:bCs/>
          <w:sz w:val="24"/>
          <w:szCs w:val="24"/>
        </w:rPr>
        <w:t xml:space="preserve"> could play a key role in helping families, particularly those headed by a lone parent or adult with a</w:t>
      </w:r>
      <w:r w:rsidRPr="0091514B">
        <w:rPr>
          <w:rFonts w:ascii="Verdana" w:hAnsi="Verdana"/>
          <w:b/>
          <w:bCs/>
          <w:sz w:val="24"/>
          <w:szCs w:val="24"/>
        </w:rPr>
        <w:t xml:space="preserve"> </w:t>
      </w:r>
      <w:r w:rsidR="004B0316" w:rsidRPr="0091514B">
        <w:rPr>
          <w:rFonts w:ascii="Verdana" w:hAnsi="Verdana"/>
          <w:b/>
          <w:bCs/>
          <w:sz w:val="24"/>
          <w:szCs w:val="24"/>
        </w:rPr>
        <w:t>disability, access better-quality, adequately heated accommodation</w:t>
      </w:r>
      <w:r w:rsidR="004B0316" w:rsidRPr="4028036C">
        <w:rPr>
          <w:rFonts w:ascii="Verdana" w:hAnsi="Verdana"/>
          <w:sz w:val="24"/>
          <w:szCs w:val="24"/>
        </w:rPr>
        <w:t>”.</w:t>
      </w:r>
      <w:r w:rsidRPr="4028036C">
        <w:rPr>
          <w:rStyle w:val="FootnoteReference"/>
          <w:rFonts w:ascii="Verdana" w:hAnsi="Verdana"/>
          <w:sz w:val="24"/>
          <w:szCs w:val="24"/>
        </w:rPr>
        <w:footnoteReference w:id="39"/>
      </w:r>
      <w:r w:rsidR="00746894" w:rsidRPr="4028036C">
        <w:rPr>
          <w:rFonts w:ascii="Verdana" w:hAnsi="Verdana"/>
          <w:sz w:val="24"/>
          <w:szCs w:val="24"/>
        </w:rPr>
        <w:t xml:space="preserve"> </w:t>
      </w:r>
      <w:r w:rsidR="00CA050B">
        <w:rPr>
          <w:rFonts w:ascii="Verdana" w:hAnsi="Verdana"/>
          <w:sz w:val="24"/>
          <w:szCs w:val="24"/>
        </w:rPr>
        <w:t>O</w:t>
      </w:r>
      <w:r w:rsidR="0017681C" w:rsidRPr="4028036C">
        <w:rPr>
          <w:rFonts w:ascii="Verdana" w:hAnsi="Verdana"/>
          <w:sz w:val="24"/>
          <w:szCs w:val="24"/>
        </w:rPr>
        <w:t xml:space="preserve">n </w:t>
      </w:r>
      <w:r w:rsidR="00D54DD5">
        <w:rPr>
          <w:rFonts w:ascii="Verdana" w:hAnsi="Verdana"/>
          <w:sz w:val="24"/>
          <w:szCs w:val="24"/>
        </w:rPr>
        <w:t>the Cost of D</w:t>
      </w:r>
      <w:r w:rsidR="0017681C" w:rsidRPr="4028036C">
        <w:rPr>
          <w:rFonts w:ascii="Verdana" w:hAnsi="Verdana"/>
          <w:sz w:val="24"/>
          <w:szCs w:val="24"/>
        </w:rPr>
        <w:t>isability the</w:t>
      </w:r>
      <w:r w:rsidR="00CA050B">
        <w:rPr>
          <w:rFonts w:ascii="Verdana" w:hAnsi="Verdana"/>
          <w:sz w:val="24"/>
          <w:szCs w:val="24"/>
        </w:rPr>
        <w:t xml:space="preserve"> authors emphasise</w:t>
      </w:r>
      <w:r w:rsidR="0017681C" w:rsidRPr="4028036C">
        <w:rPr>
          <w:rFonts w:ascii="Verdana" w:hAnsi="Verdana"/>
          <w:sz w:val="24"/>
          <w:szCs w:val="24"/>
        </w:rPr>
        <w:t xml:space="preserve"> </w:t>
      </w:r>
      <w:r w:rsidR="00500E92">
        <w:rPr>
          <w:rFonts w:ascii="Verdana" w:hAnsi="Verdana"/>
          <w:sz w:val="24"/>
          <w:szCs w:val="24"/>
        </w:rPr>
        <w:t>how</w:t>
      </w:r>
      <w:r w:rsidR="005700D2" w:rsidRPr="4028036C">
        <w:rPr>
          <w:rFonts w:ascii="Verdana" w:hAnsi="Verdana"/>
          <w:sz w:val="24"/>
          <w:szCs w:val="24"/>
        </w:rPr>
        <w:t xml:space="preserve"> </w:t>
      </w:r>
      <w:r w:rsidR="0017681C" w:rsidRPr="4028036C">
        <w:rPr>
          <w:rFonts w:ascii="Verdana" w:hAnsi="Verdana"/>
          <w:sz w:val="24"/>
          <w:szCs w:val="24"/>
        </w:rPr>
        <w:t>“a</w:t>
      </w:r>
      <w:r w:rsidR="000F236C" w:rsidRPr="4028036C">
        <w:rPr>
          <w:rFonts w:ascii="Verdana" w:hAnsi="Verdana"/>
          <w:sz w:val="24"/>
          <w:szCs w:val="24"/>
        </w:rPr>
        <w:t>dditional supports to counteract these extra costs are needed to ensure that this group can secure adequate housing. This might take the form of grants for adaptations, or adjustments to benefits, or to means assessments for benefits”</w:t>
      </w:r>
      <w:r w:rsidR="005700D2" w:rsidRPr="4028036C">
        <w:rPr>
          <w:rFonts w:ascii="Verdana" w:hAnsi="Verdana"/>
          <w:sz w:val="24"/>
          <w:szCs w:val="24"/>
        </w:rPr>
        <w:t>.</w:t>
      </w:r>
      <w:r w:rsidR="0017681C" w:rsidRPr="4028036C">
        <w:rPr>
          <w:rStyle w:val="FootnoteReference"/>
          <w:rFonts w:ascii="Verdana" w:hAnsi="Verdana"/>
          <w:sz w:val="24"/>
          <w:szCs w:val="24"/>
        </w:rPr>
        <w:footnoteReference w:id="40"/>
      </w:r>
    </w:p>
    <w:p w14:paraId="72730362" w14:textId="237FA34E" w:rsidR="00BF5773" w:rsidRDefault="00CD3249" w:rsidP="000F236C">
      <w:pPr>
        <w:rPr>
          <w:rFonts w:ascii="Verdana" w:hAnsi="Verdana"/>
          <w:sz w:val="24"/>
          <w:szCs w:val="24"/>
        </w:rPr>
      </w:pPr>
      <w:r w:rsidRPr="4028036C">
        <w:rPr>
          <w:rFonts w:ascii="Verdana" w:hAnsi="Verdana"/>
          <w:sz w:val="24"/>
          <w:szCs w:val="24"/>
        </w:rPr>
        <w:t>A December 2023 paper assessing the impact of Budget 2024</w:t>
      </w:r>
      <w:r w:rsidR="00F15B41" w:rsidRPr="4028036C">
        <w:rPr>
          <w:rFonts w:ascii="Verdana" w:hAnsi="Verdana"/>
          <w:sz w:val="24"/>
          <w:szCs w:val="24"/>
        </w:rPr>
        <w:t xml:space="preserve">, shows that while AROP </w:t>
      </w:r>
      <w:r w:rsidR="00354A11" w:rsidRPr="4028036C">
        <w:rPr>
          <w:rFonts w:ascii="Verdana" w:hAnsi="Verdana"/>
          <w:sz w:val="24"/>
          <w:szCs w:val="24"/>
        </w:rPr>
        <w:t xml:space="preserve">levels would decrease as a result, this was </w:t>
      </w:r>
      <w:r w:rsidR="00627F26" w:rsidRPr="4028036C">
        <w:rPr>
          <w:rFonts w:ascii="Verdana" w:hAnsi="Verdana"/>
          <w:sz w:val="24"/>
          <w:szCs w:val="24"/>
        </w:rPr>
        <w:t>“wholly due to the package of temporary measures”</w:t>
      </w:r>
      <w:r w:rsidR="00354A11" w:rsidRPr="4028036C">
        <w:rPr>
          <w:rFonts w:ascii="Verdana" w:hAnsi="Verdana"/>
          <w:sz w:val="24"/>
          <w:szCs w:val="24"/>
        </w:rPr>
        <w:t>, and without the</w:t>
      </w:r>
      <w:r w:rsidR="00627F26" w:rsidRPr="4028036C">
        <w:rPr>
          <w:rFonts w:ascii="Verdana" w:hAnsi="Verdana"/>
          <w:sz w:val="24"/>
          <w:szCs w:val="24"/>
        </w:rPr>
        <w:t>se</w:t>
      </w:r>
      <w:r w:rsidR="00354A11" w:rsidRPr="4028036C">
        <w:rPr>
          <w:rFonts w:ascii="Verdana" w:hAnsi="Verdana"/>
          <w:sz w:val="24"/>
          <w:szCs w:val="24"/>
        </w:rPr>
        <w:t xml:space="preserve"> poverty rates for disability households would have increased</w:t>
      </w:r>
      <w:r w:rsidR="008E38BB" w:rsidRPr="4028036C">
        <w:rPr>
          <w:rFonts w:ascii="Verdana" w:hAnsi="Verdana"/>
          <w:sz w:val="24"/>
          <w:szCs w:val="24"/>
        </w:rPr>
        <w:t>.</w:t>
      </w:r>
      <w:r w:rsidR="00627F26" w:rsidRPr="4028036C">
        <w:rPr>
          <w:rStyle w:val="FootnoteReference"/>
          <w:rFonts w:ascii="Verdana" w:hAnsi="Verdana"/>
          <w:sz w:val="24"/>
          <w:szCs w:val="24"/>
        </w:rPr>
        <w:footnoteReference w:id="41"/>
      </w:r>
      <w:r w:rsidR="006A29CF" w:rsidRPr="4028036C">
        <w:rPr>
          <w:rFonts w:ascii="Verdana" w:hAnsi="Verdana"/>
          <w:sz w:val="24"/>
          <w:szCs w:val="24"/>
        </w:rPr>
        <w:t xml:space="preserve"> The authors </w:t>
      </w:r>
      <w:r w:rsidR="00980824" w:rsidRPr="4028036C">
        <w:rPr>
          <w:rFonts w:ascii="Verdana" w:hAnsi="Verdana"/>
          <w:sz w:val="24"/>
          <w:szCs w:val="24"/>
        </w:rPr>
        <w:t xml:space="preserve">recommend a </w:t>
      </w:r>
      <w:r w:rsidR="00980824" w:rsidRPr="4028036C">
        <w:rPr>
          <w:rFonts w:ascii="Verdana" w:hAnsi="Verdana"/>
          <w:sz w:val="24"/>
          <w:szCs w:val="24"/>
        </w:rPr>
        <w:lastRenderedPageBreak/>
        <w:t>change in approach</w:t>
      </w:r>
      <w:r w:rsidR="00693DF2">
        <w:rPr>
          <w:rFonts w:ascii="Verdana" w:hAnsi="Verdana"/>
          <w:sz w:val="24"/>
          <w:szCs w:val="24"/>
        </w:rPr>
        <w:t xml:space="preserve"> in the future</w:t>
      </w:r>
      <w:r w:rsidR="00980824" w:rsidRPr="4028036C">
        <w:rPr>
          <w:rFonts w:ascii="Verdana" w:hAnsi="Verdana"/>
          <w:sz w:val="24"/>
          <w:szCs w:val="24"/>
        </w:rPr>
        <w:t xml:space="preserve"> -</w:t>
      </w:r>
      <w:r w:rsidR="006A29CF" w:rsidRPr="4028036C">
        <w:rPr>
          <w:rFonts w:ascii="Verdana" w:hAnsi="Verdana"/>
          <w:sz w:val="24"/>
          <w:szCs w:val="24"/>
        </w:rPr>
        <w:t xml:space="preserve"> </w:t>
      </w:r>
      <w:r w:rsidR="0051415F" w:rsidRPr="4028036C">
        <w:rPr>
          <w:rFonts w:ascii="Verdana" w:hAnsi="Verdana"/>
          <w:sz w:val="24"/>
          <w:szCs w:val="24"/>
        </w:rPr>
        <w:t>“</w:t>
      </w:r>
      <w:r w:rsidR="009F60F1" w:rsidRPr="0091514B">
        <w:rPr>
          <w:rFonts w:ascii="Verdana" w:hAnsi="Verdana"/>
          <w:b/>
          <w:bCs/>
          <w:sz w:val="24"/>
          <w:szCs w:val="24"/>
        </w:rPr>
        <w:t>w</w:t>
      </w:r>
      <w:r w:rsidR="006A29CF" w:rsidRPr="0091514B">
        <w:rPr>
          <w:rFonts w:ascii="Verdana" w:hAnsi="Verdana"/>
          <w:b/>
          <w:bCs/>
          <w:sz w:val="24"/>
          <w:szCs w:val="24"/>
        </w:rPr>
        <w:t>e</w:t>
      </w:r>
      <w:r w:rsidR="0051415F" w:rsidRPr="0091514B">
        <w:rPr>
          <w:rFonts w:ascii="Verdana" w:hAnsi="Verdana"/>
          <w:b/>
          <w:bCs/>
          <w:sz w:val="24"/>
          <w:szCs w:val="24"/>
        </w:rPr>
        <w:t xml:space="preserve"> </w:t>
      </w:r>
      <w:r w:rsidR="006A29CF" w:rsidRPr="0091514B">
        <w:rPr>
          <w:rFonts w:ascii="Verdana" w:hAnsi="Verdana"/>
          <w:b/>
          <w:bCs/>
          <w:sz w:val="24"/>
          <w:szCs w:val="24"/>
        </w:rPr>
        <w:t>suggest that policymakers should move away from the use of temporary measures</w:t>
      </w:r>
      <w:r w:rsidR="0051415F" w:rsidRPr="0091514B">
        <w:rPr>
          <w:rFonts w:ascii="Verdana" w:hAnsi="Verdana"/>
          <w:b/>
          <w:bCs/>
          <w:sz w:val="24"/>
          <w:szCs w:val="24"/>
        </w:rPr>
        <w:t xml:space="preserve"> </w:t>
      </w:r>
      <w:r w:rsidR="006A29CF" w:rsidRPr="0091514B">
        <w:rPr>
          <w:rFonts w:ascii="Verdana" w:hAnsi="Verdana"/>
          <w:b/>
          <w:bCs/>
          <w:sz w:val="24"/>
          <w:szCs w:val="24"/>
        </w:rPr>
        <w:t>to compensate households for rising prices and should consider the adequacy of</w:t>
      </w:r>
      <w:r w:rsidR="0051415F" w:rsidRPr="0091514B">
        <w:rPr>
          <w:rFonts w:ascii="Verdana" w:hAnsi="Verdana"/>
          <w:b/>
          <w:bCs/>
          <w:sz w:val="24"/>
          <w:szCs w:val="24"/>
        </w:rPr>
        <w:t xml:space="preserve"> </w:t>
      </w:r>
      <w:r w:rsidR="006A29CF" w:rsidRPr="0091514B">
        <w:rPr>
          <w:rFonts w:ascii="Verdana" w:hAnsi="Verdana"/>
          <w:b/>
          <w:bCs/>
          <w:sz w:val="24"/>
          <w:szCs w:val="24"/>
        </w:rPr>
        <w:t>welfare payments</w:t>
      </w:r>
      <w:r w:rsidR="006A29CF" w:rsidRPr="4028036C">
        <w:rPr>
          <w:rFonts w:ascii="Verdana" w:hAnsi="Verdana"/>
          <w:sz w:val="24"/>
          <w:szCs w:val="24"/>
        </w:rPr>
        <w:t xml:space="preserve"> to provide an appropriate standard of living at current market</w:t>
      </w:r>
      <w:r w:rsidR="0051415F" w:rsidRPr="4028036C">
        <w:rPr>
          <w:rFonts w:ascii="Verdana" w:hAnsi="Verdana"/>
          <w:sz w:val="24"/>
          <w:szCs w:val="24"/>
        </w:rPr>
        <w:t xml:space="preserve"> </w:t>
      </w:r>
      <w:r w:rsidR="006A29CF" w:rsidRPr="4028036C">
        <w:rPr>
          <w:rFonts w:ascii="Verdana" w:hAnsi="Verdana"/>
          <w:sz w:val="24"/>
          <w:szCs w:val="24"/>
        </w:rPr>
        <w:t>prices</w:t>
      </w:r>
      <w:r w:rsidR="0051415F" w:rsidRPr="4028036C">
        <w:rPr>
          <w:rFonts w:ascii="Verdana" w:hAnsi="Verdana"/>
          <w:sz w:val="24"/>
          <w:szCs w:val="24"/>
        </w:rPr>
        <w:t>.”</w:t>
      </w:r>
      <w:r w:rsidR="0051415F" w:rsidRPr="4028036C">
        <w:rPr>
          <w:rStyle w:val="FootnoteReference"/>
          <w:rFonts w:ascii="Verdana" w:hAnsi="Verdana"/>
          <w:sz w:val="24"/>
          <w:szCs w:val="24"/>
        </w:rPr>
        <w:footnoteReference w:id="42"/>
      </w:r>
      <w:r w:rsidRPr="4028036C">
        <w:rPr>
          <w:rFonts w:ascii="Verdana" w:hAnsi="Verdana"/>
          <w:sz w:val="24"/>
          <w:szCs w:val="24"/>
        </w:rPr>
        <w:t xml:space="preserve"> </w:t>
      </w:r>
    </w:p>
    <w:p w14:paraId="5C33EBD7" w14:textId="5522A089" w:rsidR="00AF391B" w:rsidRDefault="00AF391B" w:rsidP="00AF391B">
      <w:pPr>
        <w:rPr>
          <w:rFonts w:ascii="Verdana" w:hAnsi="Verdana"/>
          <w:sz w:val="24"/>
          <w:szCs w:val="24"/>
          <w:lang w:val="en-GB"/>
        </w:rPr>
      </w:pPr>
      <w:r>
        <w:rPr>
          <w:rFonts w:ascii="Verdana" w:hAnsi="Verdana"/>
          <w:sz w:val="24"/>
          <w:szCs w:val="24"/>
          <w:lang w:val="en-GB"/>
        </w:rPr>
        <w:t xml:space="preserve">An October 2022 ESRI report remains particularly relevant, and thus we quote from it again in this year’s submission, as the concerns it raises have not yet been addressed. It cautions that </w:t>
      </w:r>
      <w:r w:rsidRPr="00EE422B">
        <w:rPr>
          <w:rFonts w:ascii="Verdana" w:hAnsi="Verdana"/>
          <w:b/>
          <w:bCs/>
          <w:sz w:val="24"/>
          <w:szCs w:val="24"/>
          <w:lang w:val="en-GB"/>
        </w:rPr>
        <w:t>we may in fact be significantly underestimating the level of poverty that disabled people live with</w:t>
      </w:r>
      <w:r>
        <w:rPr>
          <w:rFonts w:ascii="Verdana" w:hAnsi="Verdana"/>
          <w:sz w:val="24"/>
          <w:szCs w:val="24"/>
          <w:lang w:val="en-GB"/>
        </w:rPr>
        <w:t xml:space="preserve">. The authors write that: </w:t>
      </w:r>
    </w:p>
    <w:p w14:paraId="4EEB754A" w14:textId="77777777" w:rsidR="00AF391B" w:rsidRDefault="00AF391B" w:rsidP="00AF391B">
      <w:pPr>
        <w:ind w:left="720"/>
        <w:rPr>
          <w:rFonts w:ascii="Verdana" w:hAnsi="Verdana"/>
          <w:sz w:val="24"/>
          <w:szCs w:val="24"/>
          <w:lang w:val="en-GB"/>
        </w:rPr>
      </w:pPr>
      <w:r w:rsidRPr="00AD4DF5">
        <w:rPr>
          <w:rFonts w:ascii="Verdana" w:hAnsi="Verdana"/>
          <w:sz w:val="24"/>
          <w:szCs w:val="24"/>
          <w:lang w:val="en-GB"/>
        </w:rPr>
        <w:t>there is also a sizeable group of individuals who report being</w:t>
      </w:r>
      <w:r>
        <w:rPr>
          <w:rFonts w:ascii="Verdana" w:hAnsi="Verdana"/>
          <w:sz w:val="24"/>
          <w:szCs w:val="24"/>
          <w:lang w:val="en-GB"/>
        </w:rPr>
        <w:t xml:space="preserve"> </w:t>
      </w:r>
      <w:r w:rsidRPr="00AD4DF5">
        <w:rPr>
          <w:rFonts w:ascii="Verdana" w:hAnsi="Verdana"/>
          <w:sz w:val="24"/>
          <w:szCs w:val="24"/>
          <w:lang w:val="en-GB"/>
        </w:rPr>
        <w:t>materially deprived but who are not classified as being at risk of poverty</w:t>
      </w:r>
      <w:r>
        <w:rPr>
          <w:rFonts w:ascii="Verdana" w:hAnsi="Verdana"/>
          <w:sz w:val="24"/>
          <w:szCs w:val="24"/>
          <w:lang w:val="en-GB"/>
        </w:rPr>
        <w:t xml:space="preserve"> </w:t>
      </w:r>
      <w:r w:rsidRPr="00AD4DF5">
        <w:rPr>
          <w:rFonts w:ascii="Verdana" w:hAnsi="Verdana"/>
          <w:sz w:val="24"/>
          <w:szCs w:val="24"/>
          <w:lang w:val="en-GB"/>
        </w:rPr>
        <w:t>(AROP)</w:t>
      </w:r>
      <w:r>
        <w:rPr>
          <w:rFonts w:ascii="Verdana" w:hAnsi="Verdana"/>
          <w:sz w:val="24"/>
          <w:szCs w:val="24"/>
          <w:lang w:val="en-GB"/>
        </w:rPr>
        <w:t xml:space="preserve"> […] </w:t>
      </w:r>
      <w:r w:rsidRPr="00AD4DF5">
        <w:rPr>
          <w:rFonts w:ascii="Verdana" w:hAnsi="Verdana"/>
          <w:sz w:val="24"/>
          <w:szCs w:val="24"/>
          <w:lang w:val="en-GB"/>
        </w:rPr>
        <w:t>Of these, almost half lived in</w:t>
      </w:r>
      <w:r>
        <w:rPr>
          <w:rFonts w:ascii="Verdana" w:hAnsi="Verdana"/>
          <w:sz w:val="24"/>
          <w:szCs w:val="24"/>
          <w:lang w:val="en-GB"/>
        </w:rPr>
        <w:t xml:space="preserve"> </w:t>
      </w:r>
      <w:r w:rsidRPr="00AD4DF5">
        <w:rPr>
          <w:rFonts w:ascii="Verdana" w:hAnsi="Verdana"/>
          <w:sz w:val="24"/>
          <w:szCs w:val="24"/>
          <w:lang w:val="en-GB"/>
        </w:rPr>
        <w:t>a household where someone reported having a disability, with most of these</w:t>
      </w:r>
      <w:r>
        <w:rPr>
          <w:rFonts w:ascii="Verdana" w:hAnsi="Verdana"/>
          <w:sz w:val="24"/>
          <w:szCs w:val="24"/>
          <w:lang w:val="en-GB"/>
        </w:rPr>
        <w:t xml:space="preserve"> </w:t>
      </w:r>
      <w:r w:rsidRPr="00AD4DF5">
        <w:rPr>
          <w:rFonts w:ascii="Verdana" w:hAnsi="Verdana"/>
          <w:sz w:val="24"/>
          <w:szCs w:val="24"/>
          <w:lang w:val="en-GB"/>
        </w:rPr>
        <w:t>less than €100 per week (in equivalised terms) above the poverty line. Given</w:t>
      </w:r>
      <w:r>
        <w:rPr>
          <w:rFonts w:ascii="Verdana" w:hAnsi="Verdana"/>
          <w:sz w:val="24"/>
          <w:szCs w:val="24"/>
          <w:lang w:val="en-GB"/>
        </w:rPr>
        <w:t xml:space="preserve"> </w:t>
      </w:r>
      <w:r w:rsidRPr="00AD4DF5">
        <w:rPr>
          <w:rFonts w:ascii="Verdana" w:hAnsi="Verdana"/>
          <w:sz w:val="24"/>
          <w:szCs w:val="24"/>
          <w:lang w:val="en-GB"/>
        </w:rPr>
        <w:t>the significant extra costs of living incurred by households affected by</w:t>
      </w:r>
      <w:r>
        <w:rPr>
          <w:rFonts w:ascii="Verdana" w:hAnsi="Verdana"/>
          <w:sz w:val="24"/>
          <w:szCs w:val="24"/>
          <w:lang w:val="en-GB"/>
        </w:rPr>
        <w:t xml:space="preserve"> </w:t>
      </w:r>
      <w:r w:rsidRPr="00AD4DF5">
        <w:rPr>
          <w:rFonts w:ascii="Verdana" w:hAnsi="Verdana"/>
          <w:sz w:val="24"/>
          <w:szCs w:val="24"/>
          <w:lang w:val="en-GB"/>
        </w:rPr>
        <w:t>disability, this raises questions about whether the official measure of poverty</w:t>
      </w:r>
      <w:r>
        <w:rPr>
          <w:rFonts w:ascii="Verdana" w:hAnsi="Verdana"/>
          <w:sz w:val="24"/>
          <w:szCs w:val="24"/>
          <w:lang w:val="en-GB"/>
        </w:rPr>
        <w:t xml:space="preserve"> </w:t>
      </w:r>
      <w:r w:rsidRPr="00AD4DF5">
        <w:rPr>
          <w:rFonts w:ascii="Verdana" w:hAnsi="Verdana"/>
          <w:sz w:val="24"/>
          <w:szCs w:val="24"/>
          <w:lang w:val="en-GB"/>
        </w:rPr>
        <w:t xml:space="preserve">is adequately capturing the incidence of very low living standards or </w:t>
      </w:r>
      <w:proofErr w:type="gramStart"/>
      <w:r w:rsidRPr="00AD4DF5">
        <w:rPr>
          <w:rFonts w:ascii="Verdana" w:hAnsi="Verdana"/>
          <w:sz w:val="24"/>
          <w:szCs w:val="24"/>
          <w:lang w:val="en-GB"/>
        </w:rPr>
        <w:t>poverty,</w:t>
      </w:r>
      <w:r>
        <w:rPr>
          <w:rFonts w:ascii="Verdana" w:hAnsi="Verdana"/>
          <w:sz w:val="24"/>
          <w:szCs w:val="24"/>
          <w:lang w:val="en-GB"/>
        </w:rPr>
        <w:t xml:space="preserve"> </w:t>
      </w:r>
      <w:r w:rsidRPr="00AD4DF5">
        <w:rPr>
          <w:rFonts w:ascii="Verdana" w:hAnsi="Verdana"/>
          <w:sz w:val="24"/>
          <w:szCs w:val="24"/>
          <w:lang w:val="en-GB"/>
        </w:rPr>
        <w:t>and</w:t>
      </w:r>
      <w:proofErr w:type="gramEnd"/>
      <w:r w:rsidRPr="00AD4DF5">
        <w:rPr>
          <w:rFonts w:ascii="Verdana" w:hAnsi="Verdana"/>
          <w:sz w:val="24"/>
          <w:szCs w:val="24"/>
          <w:lang w:val="en-GB"/>
        </w:rPr>
        <w:t xml:space="preserve"> suggests that there may be a case for revisiting the way the income-related</w:t>
      </w:r>
      <w:r>
        <w:rPr>
          <w:rFonts w:ascii="Verdana" w:hAnsi="Verdana"/>
          <w:sz w:val="24"/>
          <w:szCs w:val="24"/>
          <w:lang w:val="en-GB"/>
        </w:rPr>
        <w:t xml:space="preserve"> </w:t>
      </w:r>
      <w:r w:rsidRPr="00AD4DF5">
        <w:rPr>
          <w:rFonts w:ascii="Verdana" w:hAnsi="Verdana"/>
          <w:sz w:val="24"/>
          <w:szCs w:val="24"/>
          <w:lang w:val="en-GB"/>
        </w:rPr>
        <w:t>component of this official indicator is measured</w:t>
      </w:r>
      <w:r>
        <w:rPr>
          <w:rFonts w:ascii="Verdana" w:hAnsi="Verdana"/>
          <w:sz w:val="24"/>
          <w:szCs w:val="24"/>
          <w:lang w:val="en-GB"/>
        </w:rPr>
        <w:t>.</w:t>
      </w:r>
      <w:r>
        <w:rPr>
          <w:rStyle w:val="FootnoteReference"/>
          <w:rFonts w:ascii="Verdana" w:hAnsi="Verdana"/>
          <w:sz w:val="24"/>
          <w:szCs w:val="24"/>
          <w:lang w:val="en-GB"/>
        </w:rPr>
        <w:footnoteReference w:id="43"/>
      </w:r>
      <w:r>
        <w:rPr>
          <w:rFonts w:ascii="Verdana" w:hAnsi="Verdana"/>
          <w:sz w:val="24"/>
          <w:szCs w:val="24"/>
          <w:lang w:val="en-GB"/>
        </w:rPr>
        <w:t xml:space="preserve"> </w:t>
      </w:r>
    </w:p>
    <w:p w14:paraId="574A65E5" w14:textId="38618CD4" w:rsidR="00AF391B" w:rsidRDefault="00AF391B" w:rsidP="000F236C">
      <w:pPr>
        <w:rPr>
          <w:rFonts w:ascii="Verdana" w:hAnsi="Verdana"/>
          <w:sz w:val="24"/>
          <w:szCs w:val="24"/>
        </w:rPr>
      </w:pPr>
      <w:proofErr w:type="gramStart"/>
      <w:r w:rsidRPr="4028036C">
        <w:rPr>
          <w:rFonts w:ascii="Verdana" w:hAnsi="Verdana"/>
          <w:sz w:val="24"/>
          <w:szCs w:val="24"/>
        </w:rPr>
        <w:t>Indeed</w:t>
      </w:r>
      <w:proofErr w:type="gramEnd"/>
      <w:r w:rsidRPr="4028036C">
        <w:rPr>
          <w:rFonts w:ascii="Verdana" w:hAnsi="Verdana"/>
          <w:sz w:val="24"/>
          <w:szCs w:val="24"/>
        </w:rPr>
        <w:t xml:space="preserve"> if we were to divide up </w:t>
      </w:r>
      <w:r w:rsidR="003113F2">
        <w:rPr>
          <w:rFonts w:ascii="Verdana" w:hAnsi="Verdana"/>
          <w:sz w:val="24"/>
          <w:szCs w:val="24"/>
        </w:rPr>
        <w:t xml:space="preserve">even </w:t>
      </w:r>
      <w:r w:rsidRPr="4028036C">
        <w:rPr>
          <w:rFonts w:ascii="Verdana" w:hAnsi="Verdana"/>
          <w:sz w:val="24"/>
          <w:szCs w:val="24"/>
        </w:rPr>
        <w:t xml:space="preserve">the lower annual estimate of these extra costs, €8,700, that would equate to a weekly cost of €167.30, showing that </w:t>
      </w:r>
      <w:r w:rsidRPr="4028036C">
        <w:rPr>
          <w:rFonts w:ascii="Verdana" w:hAnsi="Verdana"/>
          <w:b/>
          <w:sz w:val="24"/>
          <w:szCs w:val="24"/>
        </w:rPr>
        <w:t>many of these households may in fact be well below the poverty line when Cost of Disability is factored in</w:t>
      </w:r>
      <w:r w:rsidRPr="4028036C">
        <w:rPr>
          <w:rFonts w:ascii="Verdana" w:hAnsi="Verdana"/>
          <w:sz w:val="24"/>
          <w:szCs w:val="24"/>
        </w:rPr>
        <w:t>. As the paper observes, “due to the extra costs borne by households affected by disability, measures of low living standards using income alone can understate the true difference in living standards between households affected and those not affected by disability.”</w:t>
      </w:r>
      <w:r w:rsidRPr="4028036C">
        <w:rPr>
          <w:rStyle w:val="FootnoteReference"/>
          <w:rFonts w:ascii="Verdana" w:hAnsi="Verdana"/>
          <w:sz w:val="24"/>
          <w:szCs w:val="24"/>
        </w:rPr>
        <w:footnoteReference w:id="44"/>
      </w:r>
      <w:r w:rsidRPr="4028036C">
        <w:rPr>
          <w:rFonts w:ascii="Verdana" w:hAnsi="Verdana"/>
          <w:sz w:val="24"/>
          <w:szCs w:val="24"/>
        </w:rPr>
        <w:t xml:space="preserve"> These conclusions have important implications for any move to index social protection payments. </w:t>
      </w:r>
    </w:p>
    <w:p w14:paraId="54C8B6B2" w14:textId="4ECDC48E" w:rsidR="009F60F1" w:rsidRPr="00F5696B" w:rsidRDefault="00D16F32" w:rsidP="00F5696B">
      <w:pPr>
        <w:pStyle w:val="Heading1"/>
        <w:rPr>
          <w:sz w:val="24"/>
          <w:szCs w:val="24"/>
          <w:lang w:val="en-GB"/>
        </w:rPr>
      </w:pPr>
      <w:bookmarkStart w:id="17" w:name="_Toc171069209"/>
      <w:r w:rsidRPr="00F5696B">
        <w:rPr>
          <w:sz w:val="24"/>
          <w:szCs w:val="24"/>
          <w:lang w:val="en-GB"/>
        </w:rPr>
        <w:t xml:space="preserve">Recommendations </w:t>
      </w:r>
      <w:r w:rsidR="00C006E7">
        <w:rPr>
          <w:sz w:val="24"/>
          <w:szCs w:val="24"/>
          <w:lang w:val="en-GB"/>
        </w:rPr>
        <w:t xml:space="preserve">to Ireland </w:t>
      </w:r>
      <w:r w:rsidR="00847236">
        <w:rPr>
          <w:sz w:val="24"/>
          <w:szCs w:val="24"/>
          <w:lang w:val="en-GB"/>
        </w:rPr>
        <w:t>of</w:t>
      </w:r>
      <w:r w:rsidR="00C006E7">
        <w:rPr>
          <w:sz w:val="24"/>
          <w:szCs w:val="24"/>
          <w:lang w:val="en-GB"/>
        </w:rPr>
        <w:t xml:space="preserve"> UN</w:t>
      </w:r>
      <w:r w:rsidR="00847236">
        <w:rPr>
          <w:sz w:val="24"/>
          <w:szCs w:val="24"/>
          <w:lang w:val="en-GB"/>
        </w:rPr>
        <w:t xml:space="preserve"> Committee</w:t>
      </w:r>
      <w:r w:rsidR="006633BA" w:rsidRPr="00F5696B">
        <w:rPr>
          <w:sz w:val="24"/>
          <w:szCs w:val="24"/>
          <w:lang w:val="en-GB"/>
        </w:rPr>
        <w:t xml:space="preserve"> on Economic, Social and Cultural Rights</w:t>
      </w:r>
      <w:bookmarkEnd w:id="17"/>
      <w:r w:rsidR="006633BA" w:rsidRPr="00F5696B">
        <w:rPr>
          <w:sz w:val="24"/>
          <w:szCs w:val="24"/>
          <w:lang w:val="en-GB"/>
        </w:rPr>
        <w:t xml:space="preserve"> </w:t>
      </w:r>
    </w:p>
    <w:p w14:paraId="0E8A94E6" w14:textId="0590ACD0" w:rsidR="004B044C" w:rsidRPr="004B044C" w:rsidRDefault="00F718F6" w:rsidP="004B044C">
      <w:pPr>
        <w:rPr>
          <w:rFonts w:ascii="Verdana" w:hAnsi="Verdana"/>
          <w:sz w:val="24"/>
          <w:szCs w:val="24"/>
          <w:lang w:val="en-GB"/>
        </w:rPr>
      </w:pPr>
      <w:r>
        <w:rPr>
          <w:rFonts w:ascii="Verdana" w:hAnsi="Verdana"/>
          <w:sz w:val="24"/>
          <w:szCs w:val="24"/>
          <w:lang w:val="en-GB"/>
        </w:rPr>
        <w:t>Earlier t</w:t>
      </w:r>
      <w:r w:rsidR="007542EB">
        <w:rPr>
          <w:rFonts w:ascii="Verdana" w:hAnsi="Verdana"/>
          <w:sz w:val="24"/>
          <w:szCs w:val="24"/>
          <w:lang w:val="en-GB"/>
        </w:rPr>
        <w:t xml:space="preserve">his year Ireland was examined on its </w:t>
      </w:r>
      <w:r w:rsidR="007542EB" w:rsidRPr="00D0315A">
        <w:rPr>
          <w:rFonts w:ascii="Verdana" w:hAnsi="Verdana"/>
          <w:sz w:val="24"/>
          <w:szCs w:val="24"/>
          <w:lang w:val="en-GB"/>
        </w:rPr>
        <w:t xml:space="preserve">fourth periodic report to the </w:t>
      </w:r>
      <w:r w:rsidR="007542EB">
        <w:rPr>
          <w:rFonts w:ascii="Verdana" w:hAnsi="Verdana"/>
          <w:sz w:val="24"/>
          <w:szCs w:val="24"/>
          <w:lang w:val="en-GB"/>
        </w:rPr>
        <w:t xml:space="preserve">UN </w:t>
      </w:r>
      <w:r w:rsidR="007542EB" w:rsidRPr="00D0315A">
        <w:rPr>
          <w:rFonts w:ascii="Verdana" w:hAnsi="Verdana"/>
          <w:sz w:val="24"/>
          <w:szCs w:val="24"/>
          <w:lang w:val="en-GB"/>
        </w:rPr>
        <w:t>Committee on Economic, Social and Cultural Rights</w:t>
      </w:r>
      <w:r w:rsidR="007542EB">
        <w:rPr>
          <w:rFonts w:ascii="Verdana" w:hAnsi="Verdana"/>
          <w:sz w:val="24"/>
          <w:szCs w:val="24"/>
          <w:lang w:val="en-GB"/>
        </w:rPr>
        <w:t xml:space="preserve">. The Committee made a number of concluding observations, expressing concern about the </w:t>
      </w:r>
      <w:r w:rsidR="007542EB">
        <w:rPr>
          <w:rFonts w:ascii="Verdana" w:hAnsi="Verdana"/>
          <w:sz w:val="24"/>
          <w:szCs w:val="24"/>
          <w:lang w:val="en-GB"/>
        </w:rPr>
        <w:lastRenderedPageBreak/>
        <w:t>adequacy of Ireland’s social protection system, and the need for targeted supports for disabled people.</w:t>
      </w:r>
      <w:r w:rsidR="007542EB">
        <w:rPr>
          <w:rStyle w:val="FootnoteReference"/>
          <w:rFonts w:ascii="Verdana" w:hAnsi="Verdana"/>
          <w:sz w:val="24"/>
          <w:szCs w:val="24"/>
          <w:lang w:val="en-GB"/>
        </w:rPr>
        <w:footnoteReference w:id="45"/>
      </w:r>
      <w:r w:rsidR="004B044C" w:rsidRPr="004B044C">
        <w:t xml:space="preserve"> </w:t>
      </w:r>
      <w:r w:rsidR="0081277A">
        <w:rPr>
          <w:rFonts w:ascii="Verdana" w:hAnsi="Verdana"/>
          <w:sz w:val="24"/>
          <w:szCs w:val="24"/>
          <w:lang w:val="en-GB"/>
        </w:rPr>
        <w:t>On poverty in particular the Committee:</w:t>
      </w:r>
    </w:p>
    <w:p w14:paraId="757EFFD0" w14:textId="569FDF45" w:rsidR="004B044C" w:rsidRPr="0081277A" w:rsidRDefault="00BE0FCE" w:rsidP="0081277A">
      <w:pPr>
        <w:pStyle w:val="ListParagraph"/>
        <w:numPr>
          <w:ilvl w:val="0"/>
          <w:numId w:val="33"/>
        </w:numPr>
        <w:rPr>
          <w:rFonts w:ascii="Verdana" w:hAnsi="Verdana"/>
          <w:sz w:val="24"/>
          <w:szCs w:val="24"/>
          <w:lang w:val="en-GB"/>
        </w:rPr>
      </w:pPr>
      <w:r>
        <w:rPr>
          <w:rFonts w:ascii="Verdana" w:hAnsi="Verdana"/>
          <w:sz w:val="24"/>
          <w:szCs w:val="24"/>
          <w:lang w:val="en-GB"/>
        </w:rPr>
        <w:t>E</w:t>
      </w:r>
      <w:r w:rsidR="004B044C" w:rsidRPr="0081277A">
        <w:rPr>
          <w:rFonts w:ascii="Verdana" w:hAnsi="Verdana"/>
          <w:sz w:val="24"/>
          <w:szCs w:val="24"/>
          <w:lang w:val="en-GB"/>
        </w:rPr>
        <w:t>xpressed concern about the inadequacy of social security benefits. Ireland should establish a social protection floor, and ensure that social security covers everyone equally, provides sufficient support, and is indexed to the cost of living.</w:t>
      </w:r>
    </w:p>
    <w:p w14:paraId="2428BA9C" w14:textId="592077AD" w:rsidR="004B044C" w:rsidRPr="0081277A" w:rsidRDefault="00F1442E" w:rsidP="0081277A">
      <w:pPr>
        <w:pStyle w:val="ListParagraph"/>
        <w:numPr>
          <w:ilvl w:val="0"/>
          <w:numId w:val="33"/>
        </w:numPr>
        <w:rPr>
          <w:rFonts w:ascii="Verdana" w:hAnsi="Verdana"/>
          <w:sz w:val="24"/>
          <w:szCs w:val="24"/>
          <w:lang w:val="en-GB"/>
        </w:rPr>
      </w:pPr>
      <w:r>
        <w:rPr>
          <w:rFonts w:ascii="Verdana" w:hAnsi="Verdana"/>
          <w:sz w:val="24"/>
          <w:szCs w:val="24"/>
          <w:lang w:val="en-GB"/>
        </w:rPr>
        <w:t xml:space="preserve">Said </w:t>
      </w:r>
      <w:r w:rsidR="001374E1">
        <w:rPr>
          <w:rFonts w:ascii="Verdana" w:hAnsi="Verdana"/>
          <w:sz w:val="24"/>
          <w:szCs w:val="24"/>
          <w:lang w:val="en-GB"/>
        </w:rPr>
        <w:t>Ireland should a</w:t>
      </w:r>
      <w:r w:rsidR="004B044C" w:rsidRPr="0081277A">
        <w:rPr>
          <w:rFonts w:ascii="Verdana" w:hAnsi="Verdana"/>
          <w:sz w:val="24"/>
          <w:szCs w:val="24"/>
          <w:lang w:val="en-GB"/>
        </w:rPr>
        <w:t>dopt a national plan to eradicate poverty and address the root causes of poverty</w:t>
      </w:r>
      <w:r w:rsidR="00735EE2">
        <w:rPr>
          <w:rFonts w:ascii="Verdana" w:hAnsi="Verdana"/>
          <w:sz w:val="24"/>
          <w:szCs w:val="24"/>
          <w:lang w:val="en-GB"/>
        </w:rPr>
        <w:t>.</w:t>
      </w:r>
    </w:p>
    <w:p w14:paraId="2B42CC7E" w14:textId="65C7BCEA" w:rsidR="00006E1E" w:rsidRDefault="00F1442E" w:rsidP="0081277A">
      <w:pPr>
        <w:pStyle w:val="ListParagraph"/>
        <w:numPr>
          <w:ilvl w:val="0"/>
          <w:numId w:val="33"/>
        </w:numPr>
        <w:rPr>
          <w:rFonts w:ascii="Verdana" w:hAnsi="Verdana"/>
          <w:sz w:val="24"/>
          <w:szCs w:val="24"/>
          <w:lang w:val="en-GB"/>
        </w:rPr>
      </w:pPr>
      <w:r>
        <w:rPr>
          <w:rFonts w:ascii="Verdana" w:hAnsi="Verdana"/>
          <w:sz w:val="24"/>
          <w:szCs w:val="24"/>
          <w:lang w:val="en-GB"/>
        </w:rPr>
        <w:t xml:space="preserve">Recommended </w:t>
      </w:r>
      <w:r w:rsidR="004B044C" w:rsidRPr="0081277A">
        <w:rPr>
          <w:rFonts w:ascii="Verdana" w:hAnsi="Verdana"/>
          <w:sz w:val="24"/>
          <w:szCs w:val="24"/>
          <w:lang w:val="en-GB"/>
        </w:rPr>
        <w:t>targeted support for groups disproportionately affected by poverty, including persons with disabilities.</w:t>
      </w:r>
    </w:p>
    <w:p w14:paraId="0B0A1704" w14:textId="12FE7AD0" w:rsidR="00EA505E" w:rsidRPr="001374E1" w:rsidRDefault="001374E1" w:rsidP="00EA505E">
      <w:pPr>
        <w:rPr>
          <w:rFonts w:ascii="Verdana" w:hAnsi="Verdana"/>
          <w:sz w:val="24"/>
          <w:szCs w:val="24"/>
          <w:lang w:val="en-GB"/>
        </w:rPr>
      </w:pPr>
      <w:r>
        <w:rPr>
          <w:rFonts w:ascii="Verdana" w:hAnsi="Verdana"/>
          <w:sz w:val="24"/>
          <w:szCs w:val="24"/>
          <w:lang w:val="en-GB"/>
        </w:rPr>
        <w:t xml:space="preserve">The Committee also made recommendations </w:t>
      </w:r>
      <w:r w:rsidR="00AF0211">
        <w:rPr>
          <w:rFonts w:ascii="Verdana" w:hAnsi="Verdana"/>
          <w:sz w:val="24"/>
          <w:szCs w:val="24"/>
          <w:lang w:val="en-GB"/>
        </w:rPr>
        <w:t>on</w:t>
      </w:r>
      <w:r>
        <w:rPr>
          <w:rFonts w:ascii="Verdana" w:hAnsi="Verdana"/>
          <w:sz w:val="24"/>
          <w:szCs w:val="24"/>
          <w:lang w:val="en-GB"/>
        </w:rPr>
        <w:t xml:space="preserve"> employment</w:t>
      </w:r>
      <w:r w:rsidR="00AF0211">
        <w:rPr>
          <w:rFonts w:ascii="Verdana" w:hAnsi="Verdana"/>
          <w:sz w:val="24"/>
          <w:szCs w:val="24"/>
          <w:lang w:val="en-GB"/>
        </w:rPr>
        <w:t xml:space="preserve"> -</w:t>
      </w:r>
      <w:r>
        <w:rPr>
          <w:rFonts w:ascii="Verdana" w:hAnsi="Verdana"/>
          <w:sz w:val="24"/>
          <w:szCs w:val="24"/>
          <w:lang w:val="en-GB"/>
        </w:rPr>
        <w:t xml:space="preserve"> including </w:t>
      </w:r>
      <w:r w:rsidR="00EA505E">
        <w:rPr>
          <w:rFonts w:ascii="Verdana" w:hAnsi="Verdana"/>
          <w:sz w:val="24"/>
          <w:szCs w:val="24"/>
          <w:lang w:val="en-GB"/>
        </w:rPr>
        <w:t>r</w:t>
      </w:r>
      <w:r w:rsidR="00EA505E" w:rsidRPr="00EA505E">
        <w:rPr>
          <w:rFonts w:ascii="Verdana" w:hAnsi="Verdana"/>
          <w:sz w:val="24"/>
          <w:szCs w:val="24"/>
          <w:lang w:val="en-GB"/>
        </w:rPr>
        <w:t>eview</w:t>
      </w:r>
      <w:r w:rsidR="00EA505E">
        <w:rPr>
          <w:rFonts w:ascii="Verdana" w:hAnsi="Verdana"/>
          <w:sz w:val="24"/>
          <w:szCs w:val="24"/>
          <w:lang w:val="en-GB"/>
        </w:rPr>
        <w:t>ing</w:t>
      </w:r>
      <w:r w:rsidR="00EA505E" w:rsidRPr="00EA505E">
        <w:rPr>
          <w:rFonts w:ascii="Verdana" w:hAnsi="Verdana"/>
          <w:sz w:val="24"/>
          <w:szCs w:val="24"/>
          <w:lang w:val="en-GB"/>
        </w:rPr>
        <w:t xml:space="preserve"> employment policies to discover the root cause of persistent unemployment </w:t>
      </w:r>
      <w:r w:rsidR="00EA505E">
        <w:rPr>
          <w:rFonts w:ascii="Verdana" w:hAnsi="Verdana"/>
          <w:sz w:val="24"/>
          <w:szCs w:val="24"/>
          <w:lang w:val="en-GB"/>
        </w:rPr>
        <w:t>among</w:t>
      </w:r>
      <w:r w:rsidR="00EA505E" w:rsidRPr="00EA505E">
        <w:rPr>
          <w:rFonts w:ascii="Verdana" w:hAnsi="Verdana"/>
          <w:sz w:val="24"/>
          <w:szCs w:val="24"/>
          <w:lang w:val="en-GB"/>
        </w:rPr>
        <w:t xml:space="preserve"> people with disabilities, tak</w:t>
      </w:r>
      <w:r w:rsidR="00EA505E">
        <w:rPr>
          <w:rFonts w:ascii="Verdana" w:hAnsi="Verdana"/>
          <w:sz w:val="24"/>
          <w:szCs w:val="24"/>
          <w:lang w:val="en-GB"/>
        </w:rPr>
        <w:t>ing</w:t>
      </w:r>
      <w:r w:rsidR="00EA505E" w:rsidRPr="00EA505E">
        <w:rPr>
          <w:rFonts w:ascii="Verdana" w:hAnsi="Verdana"/>
          <w:sz w:val="24"/>
          <w:szCs w:val="24"/>
          <w:lang w:val="en-GB"/>
        </w:rPr>
        <w:t xml:space="preserve"> measures to improve </w:t>
      </w:r>
      <w:r w:rsidR="00AF0211">
        <w:rPr>
          <w:rFonts w:ascii="Verdana" w:hAnsi="Verdana"/>
          <w:sz w:val="24"/>
          <w:szCs w:val="24"/>
          <w:lang w:val="en-GB"/>
        </w:rPr>
        <w:t>employment</w:t>
      </w:r>
      <w:r w:rsidR="00EA505E" w:rsidRPr="00EA505E">
        <w:rPr>
          <w:rFonts w:ascii="Verdana" w:hAnsi="Verdana"/>
          <w:sz w:val="24"/>
          <w:szCs w:val="24"/>
          <w:lang w:val="en-GB"/>
        </w:rPr>
        <w:t xml:space="preserve"> level</w:t>
      </w:r>
      <w:r w:rsidR="00EA505E">
        <w:rPr>
          <w:rFonts w:ascii="Verdana" w:hAnsi="Verdana"/>
          <w:sz w:val="24"/>
          <w:szCs w:val="24"/>
          <w:lang w:val="en-GB"/>
        </w:rPr>
        <w:t>s,</w:t>
      </w:r>
      <w:r w:rsidR="00992135">
        <w:rPr>
          <w:rFonts w:ascii="Verdana" w:hAnsi="Verdana"/>
          <w:sz w:val="24"/>
          <w:szCs w:val="24"/>
          <w:lang w:val="en-GB"/>
        </w:rPr>
        <w:t xml:space="preserve"> </w:t>
      </w:r>
      <w:r w:rsidR="00EA505E" w:rsidRPr="00EA505E">
        <w:rPr>
          <w:rFonts w:ascii="Verdana" w:hAnsi="Verdana"/>
          <w:sz w:val="24"/>
          <w:szCs w:val="24"/>
          <w:lang w:val="en-GB"/>
        </w:rPr>
        <w:t xml:space="preserve">expressed concern that current laws allow for different wages based on disability, </w:t>
      </w:r>
      <w:r w:rsidR="00992135">
        <w:rPr>
          <w:rFonts w:ascii="Verdana" w:hAnsi="Verdana"/>
          <w:sz w:val="24"/>
          <w:szCs w:val="24"/>
          <w:lang w:val="en-GB"/>
        </w:rPr>
        <w:t xml:space="preserve">and </w:t>
      </w:r>
      <w:r w:rsidR="00F1442E">
        <w:rPr>
          <w:rFonts w:ascii="Verdana" w:hAnsi="Verdana"/>
          <w:sz w:val="24"/>
          <w:szCs w:val="24"/>
          <w:lang w:val="en-GB"/>
        </w:rPr>
        <w:t>recommended</w:t>
      </w:r>
      <w:r w:rsidR="00992135">
        <w:rPr>
          <w:rFonts w:ascii="Verdana" w:hAnsi="Verdana"/>
          <w:sz w:val="24"/>
          <w:szCs w:val="24"/>
          <w:lang w:val="en-GB"/>
        </w:rPr>
        <w:t xml:space="preserve"> m</w:t>
      </w:r>
      <w:r w:rsidR="00EA505E" w:rsidRPr="00EA505E">
        <w:rPr>
          <w:rFonts w:ascii="Verdana" w:hAnsi="Verdana"/>
          <w:sz w:val="24"/>
          <w:szCs w:val="24"/>
          <w:lang w:val="en-GB"/>
        </w:rPr>
        <w:t xml:space="preserve">ore consultation with workers when making reasonable accommodation decisions. </w:t>
      </w:r>
    </w:p>
    <w:p w14:paraId="51F97AEE" w14:textId="47CA87AD" w:rsidR="009C2C53" w:rsidRPr="00F5696B" w:rsidRDefault="009C2C53" w:rsidP="00F5696B">
      <w:pPr>
        <w:pStyle w:val="Heading1"/>
        <w:rPr>
          <w:sz w:val="24"/>
          <w:szCs w:val="24"/>
        </w:rPr>
      </w:pPr>
      <w:bookmarkStart w:id="18" w:name="_Toc171069210"/>
      <w:r w:rsidRPr="00F5696B">
        <w:rPr>
          <w:sz w:val="24"/>
          <w:szCs w:val="24"/>
        </w:rPr>
        <w:t>Benchmarking: Minimum Essential Standard of Living Required (</w:t>
      </w:r>
      <w:r w:rsidR="008C63F3">
        <w:rPr>
          <w:sz w:val="24"/>
          <w:szCs w:val="24"/>
        </w:rPr>
        <w:t>F</w:t>
      </w:r>
      <w:r w:rsidRPr="00F5696B">
        <w:rPr>
          <w:sz w:val="24"/>
          <w:szCs w:val="24"/>
        </w:rPr>
        <w:t>actoring in extra Cost of Disability)</w:t>
      </w:r>
      <w:bookmarkEnd w:id="18"/>
    </w:p>
    <w:p w14:paraId="2F2BAD83" w14:textId="77777777" w:rsidR="002349FC" w:rsidRDefault="009C2C53" w:rsidP="009C2C53">
      <w:pPr>
        <w:spacing w:line="276" w:lineRule="auto"/>
        <w:rPr>
          <w:rFonts w:ascii="Verdana" w:hAnsi="Verdana"/>
          <w:sz w:val="24"/>
          <w:szCs w:val="24"/>
        </w:rPr>
      </w:pPr>
      <w:r w:rsidRPr="005C6C11">
        <w:rPr>
          <w:rFonts w:ascii="Verdana" w:hAnsi="Verdana"/>
          <w:sz w:val="24"/>
          <w:szCs w:val="24"/>
        </w:rPr>
        <w:t>The</w:t>
      </w:r>
      <w:r>
        <w:rPr>
          <w:rFonts w:ascii="Verdana" w:hAnsi="Verdana"/>
          <w:sz w:val="24"/>
          <w:szCs w:val="24"/>
        </w:rPr>
        <w:t xml:space="preserve"> </w:t>
      </w:r>
      <w:r w:rsidRPr="005C6C11">
        <w:rPr>
          <w:rFonts w:ascii="Verdana" w:hAnsi="Verdana"/>
          <w:sz w:val="24"/>
          <w:szCs w:val="24"/>
        </w:rPr>
        <w:t>inadequacy of</w:t>
      </w:r>
      <w:r>
        <w:rPr>
          <w:rFonts w:ascii="Verdana" w:hAnsi="Verdana"/>
          <w:sz w:val="24"/>
          <w:szCs w:val="24"/>
        </w:rPr>
        <w:t xml:space="preserve"> </w:t>
      </w:r>
      <w:r w:rsidRPr="005C6C11">
        <w:rPr>
          <w:rFonts w:ascii="Verdana" w:hAnsi="Verdana"/>
          <w:sz w:val="24"/>
          <w:szCs w:val="24"/>
        </w:rPr>
        <w:t xml:space="preserve">social welfare rates </w:t>
      </w:r>
      <w:r>
        <w:rPr>
          <w:rFonts w:ascii="Verdana" w:hAnsi="Verdana"/>
          <w:sz w:val="24"/>
          <w:szCs w:val="24"/>
        </w:rPr>
        <w:t>has been dramatically highlighted</w:t>
      </w:r>
      <w:r w:rsidRPr="005C6C11">
        <w:rPr>
          <w:rFonts w:ascii="Verdana" w:hAnsi="Verdana"/>
          <w:sz w:val="24"/>
          <w:szCs w:val="24"/>
        </w:rPr>
        <w:t xml:space="preserve"> in recent years</w:t>
      </w:r>
      <w:r>
        <w:rPr>
          <w:rFonts w:ascii="Verdana" w:hAnsi="Verdana"/>
          <w:sz w:val="24"/>
          <w:szCs w:val="24"/>
        </w:rPr>
        <w:t xml:space="preserve">, both by the gap between core rates and the higher rate of the </w:t>
      </w:r>
      <w:r w:rsidR="00D40E62">
        <w:rPr>
          <w:rFonts w:ascii="Verdana" w:hAnsi="Verdana"/>
          <w:sz w:val="24"/>
          <w:szCs w:val="24"/>
        </w:rPr>
        <w:t xml:space="preserve">€350 </w:t>
      </w:r>
      <w:r>
        <w:rPr>
          <w:rFonts w:ascii="Verdana" w:hAnsi="Verdana"/>
          <w:sz w:val="24"/>
          <w:szCs w:val="24"/>
        </w:rPr>
        <w:t>Pandemic Unemployment Payment, and by the cost-of-living crisis.</w:t>
      </w:r>
    </w:p>
    <w:p w14:paraId="5C832762" w14:textId="516C0F57" w:rsidR="00ED1E2A" w:rsidRDefault="009C2C53" w:rsidP="009C2C53">
      <w:pPr>
        <w:spacing w:line="276" w:lineRule="auto"/>
        <w:rPr>
          <w:rFonts w:ascii="Verdana" w:hAnsi="Verdana"/>
          <w:sz w:val="24"/>
          <w:szCs w:val="24"/>
        </w:rPr>
      </w:pPr>
      <w:r>
        <w:rPr>
          <w:rFonts w:ascii="Verdana" w:hAnsi="Verdana"/>
          <w:sz w:val="24"/>
          <w:szCs w:val="24"/>
        </w:rPr>
        <w:t xml:space="preserve">This has brought an important focus on the necessity </w:t>
      </w:r>
      <w:r w:rsidR="007A4628">
        <w:rPr>
          <w:rFonts w:ascii="Verdana" w:hAnsi="Verdana"/>
          <w:sz w:val="24"/>
          <w:szCs w:val="24"/>
        </w:rPr>
        <w:t>to</w:t>
      </w:r>
      <w:r>
        <w:rPr>
          <w:rFonts w:ascii="Verdana" w:hAnsi="Verdana"/>
          <w:sz w:val="24"/>
          <w:szCs w:val="24"/>
        </w:rPr>
        <w:t xml:space="preserve"> index</w:t>
      </w:r>
      <w:r w:rsidR="007A4628">
        <w:rPr>
          <w:rFonts w:ascii="Verdana" w:hAnsi="Verdana"/>
          <w:sz w:val="24"/>
          <w:szCs w:val="24"/>
        </w:rPr>
        <w:t xml:space="preserve"> and benchmark</w:t>
      </w:r>
      <w:r>
        <w:rPr>
          <w:rFonts w:ascii="Verdana" w:hAnsi="Verdana"/>
          <w:sz w:val="24"/>
          <w:szCs w:val="24"/>
        </w:rPr>
        <w:t xml:space="preserve"> social protection payment levels</w:t>
      </w:r>
      <w:r w:rsidR="00560338">
        <w:rPr>
          <w:rFonts w:ascii="Verdana" w:hAnsi="Verdana"/>
          <w:sz w:val="24"/>
          <w:szCs w:val="24"/>
        </w:rPr>
        <w:t>,</w:t>
      </w:r>
      <w:r>
        <w:rPr>
          <w:rFonts w:ascii="Verdana" w:hAnsi="Verdana"/>
          <w:sz w:val="24"/>
          <w:szCs w:val="24"/>
        </w:rPr>
        <w:t xml:space="preserve"> to ensure that they keep pace with increasing costs, as the Irish Human Rights and Equality Commission</w:t>
      </w:r>
      <w:r w:rsidR="00EB5849">
        <w:rPr>
          <w:rFonts w:ascii="Verdana" w:hAnsi="Verdana"/>
          <w:sz w:val="24"/>
          <w:szCs w:val="24"/>
        </w:rPr>
        <w:t xml:space="preserve"> and anti-poverty groups have recommended.</w:t>
      </w:r>
      <w:r>
        <w:rPr>
          <w:rStyle w:val="FootnoteReference"/>
          <w:rFonts w:ascii="Verdana" w:hAnsi="Verdana"/>
          <w:sz w:val="24"/>
          <w:szCs w:val="24"/>
        </w:rPr>
        <w:footnoteReference w:id="46"/>
      </w:r>
      <w:r>
        <w:rPr>
          <w:rFonts w:ascii="Verdana" w:hAnsi="Verdana"/>
          <w:sz w:val="24"/>
          <w:szCs w:val="24"/>
        </w:rPr>
        <w:t xml:space="preserve"> </w:t>
      </w:r>
      <w:r w:rsidRPr="005C6C11">
        <w:rPr>
          <w:rFonts w:ascii="Verdana" w:hAnsi="Verdana"/>
          <w:sz w:val="24"/>
          <w:szCs w:val="24"/>
        </w:rPr>
        <w:t xml:space="preserve">Disability and anti-poverty organisations have for </w:t>
      </w:r>
      <w:r>
        <w:rPr>
          <w:rFonts w:ascii="Verdana" w:hAnsi="Verdana"/>
          <w:sz w:val="24"/>
          <w:szCs w:val="24"/>
        </w:rPr>
        <w:t xml:space="preserve">many </w:t>
      </w:r>
      <w:r w:rsidRPr="005C6C11">
        <w:rPr>
          <w:rFonts w:ascii="Verdana" w:hAnsi="Verdana"/>
          <w:sz w:val="24"/>
          <w:szCs w:val="24"/>
        </w:rPr>
        <w:t xml:space="preserve">years </w:t>
      </w:r>
      <w:r>
        <w:rPr>
          <w:rFonts w:ascii="Verdana" w:hAnsi="Verdana"/>
          <w:sz w:val="24"/>
          <w:szCs w:val="24"/>
        </w:rPr>
        <w:t>called</w:t>
      </w:r>
      <w:r w:rsidRPr="005C6C11">
        <w:rPr>
          <w:rFonts w:ascii="Verdana" w:hAnsi="Verdana"/>
          <w:sz w:val="24"/>
          <w:szCs w:val="24"/>
        </w:rPr>
        <w:t xml:space="preserve"> for a </w:t>
      </w:r>
      <w:r w:rsidRPr="001E2559">
        <w:rPr>
          <w:rFonts w:ascii="Verdana" w:hAnsi="Verdana"/>
          <w:b/>
          <w:sz w:val="24"/>
          <w:szCs w:val="24"/>
        </w:rPr>
        <w:t>Minimum Essential Standard of Living, to ensure those</w:t>
      </w:r>
      <w:r>
        <w:rPr>
          <w:rFonts w:ascii="Verdana" w:hAnsi="Verdana"/>
          <w:b/>
          <w:sz w:val="24"/>
          <w:szCs w:val="24"/>
        </w:rPr>
        <w:t xml:space="preserve"> who</w:t>
      </w:r>
      <w:r w:rsidRPr="001E2559">
        <w:rPr>
          <w:rFonts w:ascii="Verdana" w:hAnsi="Verdana"/>
          <w:b/>
          <w:sz w:val="24"/>
          <w:szCs w:val="24"/>
        </w:rPr>
        <w:t xml:space="preserve"> rely on our social protection system to survive are not condemned to poverty</w:t>
      </w:r>
      <w:r>
        <w:rPr>
          <w:rFonts w:ascii="Verdana" w:hAnsi="Verdana"/>
          <w:sz w:val="24"/>
          <w:szCs w:val="24"/>
        </w:rPr>
        <w:t>.</w:t>
      </w:r>
    </w:p>
    <w:p w14:paraId="01A23F75" w14:textId="3A7EE730" w:rsidR="00C830EA" w:rsidRDefault="00950B93" w:rsidP="00806BB3">
      <w:pPr>
        <w:rPr>
          <w:rFonts w:ascii="Verdana" w:hAnsi="Verdana"/>
          <w:sz w:val="24"/>
          <w:szCs w:val="24"/>
        </w:rPr>
      </w:pPr>
      <w:r>
        <w:rPr>
          <w:rFonts w:ascii="Verdana" w:hAnsi="Verdana"/>
          <w:sz w:val="24"/>
          <w:szCs w:val="24"/>
        </w:rPr>
        <w:t>A</w:t>
      </w:r>
      <w:r w:rsidR="009C2C53">
        <w:rPr>
          <w:rFonts w:ascii="Verdana" w:hAnsi="Verdana"/>
          <w:sz w:val="24"/>
          <w:szCs w:val="24"/>
        </w:rPr>
        <w:t>ny</w:t>
      </w:r>
      <w:r w:rsidR="009C2C53" w:rsidRPr="00B66981">
        <w:rPr>
          <w:rFonts w:ascii="Verdana" w:hAnsi="Verdana"/>
          <w:sz w:val="24"/>
          <w:szCs w:val="24"/>
        </w:rPr>
        <w:t xml:space="preserve"> benchmark</w:t>
      </w:r>
      <w:r w:rsidR="009C2C53">
        <w:rPr>
          <w:rFonts w:ascii="Verdana" w:hAnsi="Verdana"/>
          <w:sz w:val="24"/>
          <w:szCs w:val="24"/>
        </w:rPr>
        <w:t>ing or indexation that takes place</w:t>
      </w:r>
      <w:r>
        <w:rPr>
          <w:rFonts w:ascii="Verdana" w:hAnsi="Verdana"/>
          <w:sz w:val="24"/>
          <w:szCs w:val="24"/>
        </w:rPr>
        <w:t>, however,</w:t>
      </w:r>
      <w:r w:rsidR="009C2C53" w:rsidRPr="00B66981">
        <w:rPr>
          <w:rFonts w:ascii="Verdana" w:hAnsi="Verdana"/>
          <w:sz w:val="24"/>
          <w:szCs w:val="24"/>
        </w:rPr>
        <w:t xml:space="preserve"> </w:t>
      </w:r>
      <w:r w:rsidR="009C2C53" w:rsidRPr="00FB796B">
        <w:rPr>
          <w:rFonts w:ascii="Verdana" w:hAnsi="Verdana"/>
          <w:b/>
          <w:bCs/>
          <w:sz w:val="24"/>
          <w:szCs w:val="24"/>
        </w:rPr>
        <w:t xml:space="preserve">must </w:t>
      </w:r>
      <w:r w:rsidR="00DF71B2" w:rsidRPr="00FB796B">
        <w:rPr>
          <w:rFonts w:ascii="Verdana" w:hAnsi="Verdana"/>
          <w:b/>
          <w:bCs/>
          <w:sz w:val="24"/>
          <w:szCs w:val="24"/>
        </w:rPr>
        <w:t xml:space="preserve">also </w:t>
      </w:r>
      <w:r w:rsidR="009C2C53" w:rsidRPr="00FB796B">
        <w:rPr>
          <w:rFonts w:ascii="Verdana" w:hAnsi="Verdana"/>
          <w:b/>
          <w:bCs/>
          <w:sz w:val="24"/>
          <w:szCs w:val="24"/>
        </w:rPr>
        <w:t xml:space="preserve">explicitly take the extra Cost of Disability, and the findings of the </w:t>
      </w:r>
      <w:proofErr w:type="spellStart"/>
      <w:r w:rsidR="009C2C53" w:rsidRPr="00FB796B">
        <w:rPr>
          <w:rFonts w:ascii="Verdana" w:hAnsi="Verdana"/>
          <w:b/>
          <w:bCs/>
          <w:sz w:val="24"/>
          <w:szCs w:val="24"/>
        </w:rPr>
        <w:t>I</w:t>
      </w:r>
      <w:r w:rsidR="00DF71B2" w:rsidRPr="00FB796B">
        <w:rPr>
          <w:rFonts w:ascii="Verdana" w:hAnsi="Verdana"/>
          <w:b/>
          <w:bCs/>
          <w:sz w:val="24"/>
          <w:szCs w:val="24"/>
        </w:rPr>
        <w:t>ndecon</w:t>
      </w:r>
      <w:proofErr w:type="spellEnd"/>
      <w:r w:rsidR="009C2C53" w:rsidRPr="00FB796B">
        <w:rPr>
          <w:rFonts w:ascii="Verdana" w:hAnsi="Verdana"/>
          <w:b/>
          <w:bCs/>
          <w:sz w:val="24"/>
          <w:szCs w:val="24"/>
        </w:rPr>
        <w:t xml:space="preserve"> report, into account</w:t>
      </w:r>
      <w:r w:rsidR="009C2C53" w:rsidRPr="00B66981">
        <w:rPr>
          <w:rFonts w:ascii="Verdana" w:hAnsi="Verdana"/>
          <w:sz w:val="24"/>
          <w:szCs w:val="24"/>
        </w:rPr>
        <w:t xml:space="preserve">. To move to benchmarking payments </w:t>
      </w:r>
      <w:r w:rsidR="009C2C53" w:rsidRPr="00B66981">
        <w:rPr>
          <w:rFonts w:ascii="Verdana" w:hAnsi="Verdana"/>
          <w:sz w:val="24"/>
          <w:szCs w:val="24"/>
        </w:rPr>
        <w:lastRenderedPageBreak/>
        <w:t xml:space="preserve">without doing this would have the unintended consequence of locking </w:t>
      </w:r>
      <w:r w:rsidR="00FA47F6">
        <w:rPr>
          <w:rFonts w:ascii="Verdana" w:hAnsi="Verdana"/>
          <w:sz w:val="24"/>
          <w:szCs w:val="24"/>
        </w:rPr>
        <w:t xml:space="preserve">disabled </w:t>
      </w:r>
      <w:r w:rsidR="009C2C53" w:rsidRPr="00B66981">
        <w:rPr>
          <w:rFonts w:ascii="Verdana" w:hAnsi="Verdana"/>
          <w:sz w:val="24"/>
          <w:szCs w:val="24"/>
        </w:rPr>
        <w:t>people into greater structural poverty.</w:t>
      </w:r>
    </w:p>
    <w:p w14:paraId="33BC90EC" w14:textId="4BA841CA" w:rsidR="006F06EC" w:rsidRPr="00F5696B" w:rsidRDefault="006F06EC" w:rsidP="00F5696B">
      <w:pPr>
        <w:pStyle w:val="Heading1"/>
        <w:rPr>
          <w:sz w:val="24"/>
          <w:szCs w:val="24"/>
        </w:rPr>
      </w:pPr>
      <w:bookmarkStart w:id="19" w:name="_Toc171069211"/>
      <w:r w:rsidRPr="00F5696B">
        <w:rPr>
          <w:sz w:val="24"/>
          <w:szCs w:val="24"/>
        </w:rPr>
        <w:t>Budget 202</w:t>
      </w:r>
      <w:r w:rsidR="00737F45" w:rsidRPr="00F5696B">
        <w:rPr>
          <w:sz w:val="24"/>
          <w:szCs w:val="24"/>
        </w:rPr>
        <w:t>4</w:t>
      </w:r>
      <w:r w:rsidR="009158FB" w:rsidRPr="00F5696B">
        <w:rPr>
          <w:sz w:val="24"/>
          <w:szCs w:val="24"/>
        </w:rPr>
        <w:t xml:space="preserve">: Poverty and </w:t>
      </w:r>
      <w:r w:rsidR="00BF6C9C" w:rsidRPr="00F5696B">
        <w:rPr>
          <w:sz w:val="24"/>
          <w:szCs w:val="24"/>
        </w:rPr>
        <w:t>Disability Impact Assessment</w:t>
      </w:r>
      <w:bookmarkEnd w:id="19"/>
    </w:p>
    <w:p w14:paraId="0689B55C" w14:textId="31422258" w:rsidR="00BC0E1E" w:rsidRDefault="00BC0E1E" w:rsidP="00E1419B">
      <w:pPr>
        <w:rPr>
          <w:rFonts w:ascii="Verdana" w:hAnsi="Verdana"/>
          <w:sz w:val="24"/>
          <w:szCs w:val="24"/>
          <w:lang w:val="en-GB"/>
        </w:rPr>
      </w:pPr>
      <w:r>
        <w:rPr>
          <w:rFonts w:ascii="Verdana" w:hAnsi="Verdana"/>
          <w:sz w:val="24"/>
          <w:szCs w:val="24"/>
          <w:lang w:val="en-GB"/>
        </w:rPr>
        <w:t xml:space="preserve">A number of one-off measures in </w:t>
      </w:r>
      <w:r w:rsidR="00737F45">
        <w:rPr>
          <w:rFonts w:ascii="Verdana" w:hAnsi="Verdana"/>
          <w:sz w:val="24"/>
          <w:szCs w:val="24"/>
          <w:lang w:val="en-GB"/>
        </w:rPr>
        <w:t>the past two Budgets wer</w:t>
      </w:r>
      <w:r w:rsidR="00227A7B">
        <w:rPr>
          <w:rFonts w:ascii="Verdana" w:hAnsi="Verdana"/>
          <w:sz w:val="24"/>
          <w:szCs w:val="24"/>
          <w:lang w:val="en-GB"/>
        </w:rPr>
        <w:t>e</w:t>
      </w:r>
      <w:r w:rsidR="00737F45">
        <w:rPr>
          <w:rFonts w:ascii="Verdana" w:hAnsi="Verdana"/>
          <w:sz w:val="24"/>
          <w:szCs w:val="24"/>
          <w:lang w:val="en-GB"/>
        </w:rPr>
        <w:t xml:space="preserve"> used to address the </w:t>
      </w:r>
      <w:proofErr w:type="gramStart"/>
      <w:r w:rsidR="00737F45">
        <w:rPr>
          <w:rFonts w:ascii="Verdana" w:hAnsi="Verdana"/>
          <w:sz w:val="24"/>
          <w:szCs w:val="24"/>
          <w:lang w:val="en-GB"/>
        </w:rPr>
        <w:t>cost of living</w:t>
      </w:r>
      <w:proofErr w:type="gramEnd"/>
      <w:r w:rsidR="00737F45">
        <w:rPr>
          <w:rFonts w:ascii="Verdana" w:hAnsi="Verdana"/>
          <w:sz w:val="24"/>
          <w:szCs w:val="24"/>
          <w:lang w:val="en-GB"/>
        </w:rPr>
        <w:t xml:space="preserve"> crisis</w:t>
      </w:r>
      <w:r>
        <w:rPr>
          <w:rFonts w:ascii="Verdana" w:hAnsi="Verdana"/>
          <w:sz w:val="24"/>
          <w:szCs w:val="24"/>
          <w:lang w:val="en-GB"/>
        </w:rPr>
        <w:t>.</w:t>
      </w:r>
      <w:r w:rsidR="00227A7B">
        <w:rPr>
          <w:rFonts w:ascii="Verdana" w:hAnsi="Verdana"/>
          <w:sz w:val="24"/>
          <w:szCs w:val="24"/>
          <w:lang w:val="en-GB"/>
        </w:rPr>
        <w:t xml:space="preserve"> However </w:t>
      </w:r>
      <w:r w:rsidR="00227A7B" w:rsidRPr="000647FA">
        <w:rPr>
          <w:rFonts w:ascii="Verdana" w:hAnsi="Verdana"/>
          <w:b/>
          <w:bCs/>
          <w:sz w:val="24"/>
          <w:szCs w:val="24"/>
          <w:lang w:val="en-GB"/>
        </w:rPr>
        <w:t>one-off payments</w:t>
      </w:r>
      <w:r w:rsidR="00BE60CF" w:rsidRPr="000647FA">
        <w:rPr>
          <w:rFonts w:ascii="Verdana" w:hAnsi="Verdana"/>
          <w:b/>
          <w:bCs/>
          <w:sz w:val="24"/>
          <w:szCs w:val="24"/>
          <w:lang w:val="en-GB"/>
        </w:rPr>
        <w:t xml:space="preserve"> </w:t>
      </w:r>
      <w:r w:rsidR="002544DC" w:rsidRPr="000647FA">
        <w:rPr>
          <w:rFonts w:ascii="Verdana" w:hAnsi="Verdana"/>
          <w:b/>
          <w:bCs/>
          <w:sz w:val="24"/>
          <w:szCs w:val="24"/>
          <w:lang w:val="en-GB"/>
        </w:rPr>
        <w:t>just</w:t>
      </w:r>
      <w:r w:rsidR="00BE60CF" w:rsidRPr="000647FA">
        <w:rPr>
          <w:rFonts w:ascii="Verdana" w:hAnsi="Verdana"/>
          <w:b/>
          <w:bCs/>
          <w:sz w:val="24"/>
          <w:szCs w:val="24"/>
          <w:lang w:val="en-GB"/>
        </w:rPr>
        <w:t xml:space="preserve"> temporarily plug the </w:t>
      </w:r>
      <w:r w:rsidR="002544DC" w:rsidRPr="000647FA">
        <w:rPr>
          <w:rFonts w:ascii="Verdana" w:hAnsi="Verdana"/>
          <w:b/>
          <w:bCs/>
          <w:sz w:val="24"/>
          <w:szCs w:val="24"/>
          <w:lang w:val="en-GB"/>
        </w:rPr>
        <w:t xml:space="preserve">income </w:t>
      </w:r>
      <w:r w:rsidR="00BE60CF" w:rsidRPr="000647FA">
        <w:rPr>
          <w:rFonts w:ascii="Verdana" w:hAnsi="Verdana"/>
          <w:b/>
          <w:bCs/>
          <w:sz w:val="24"/>
          <w:szCs w:val="24"/>
          <w:lang w:val="en-GB"/>
        </w:rPr>
        <w:t>gap, and</w:t>
      </w:r>
      <w:r w:rsidR="00227A7B" w:rsidRPr="000647FA">
        <w:rPr>
          <w:rFonts w:ascii="Verdana" w:hAnsi="Verdana"/>
          <w:b/>
          <w:bCs/>
          <w:sz w:val="24"/>
          <w:szCs w:val="24"/>
          <w:lang w:val="en-GB"/>
        </w:rPr>
        <w:t xml:space="preserve"> do not address the structural problem of income inadequacy and consistent poverty</w:t>
      </w:r>
      <w:r w:rsidR="00227A7B">
        <w:rPr>
          <w:rFonts w:ascii="Verdana" w:hAnsi="Verdana"/>
          <w:sz w:val="24"/>
          <w:szCs w:val="24"/>
          <w:lang w:val="en-GB"/>
        </w:rPr>
        <w:t>.</w:t>
      </w:r>
    </w:p>
    <w:p w14:paraId="7340888D" w14:textId="3A13F425" w:rsidR="002E14A3" w:rsidRDefault="00227A7B" w:rsidP="001F65A2">
      <w:pPr>
        <w:rPr>
          <w:rFonts w:ascii="Verdana" w:hAnsi="Verdana"/>
          <w:iCs/>
          <w:sz w:val="24"/>
          <w:szCs w:val="24"/>
        </w:rPr>
      </w:pPr>
      <w:r>
        <w:rPr>
          <w:rFonts w:ascii="Verdana" w:hAnsi="Verdana"/>
          <w:sz w:val="24"/>
          <w:szCs w:val="24"/>
          <w:lang w:val="en-GB"/>
        </w:rPr>
        <w:t>Budget 202</w:t>
      </w:r>
      <w:r w:rsidR="00C26ABE">
        <w:rPr>
          <w:rFonts w:ascii="Verdana" w:hAnsi="Verdana"/>
          <w:sz w:val="24"/>
          <w:szCs w:val="24"/>
          <w:lang w:val="en-GB"/>
        </w:rPr>
        <w:t>4</w:t>
      </w:r>
      <w:r>
        <w:rPr>
          <w:rFonts w:ascii="Verdana" w:hAnsi="Verdana"/>
          <w:sz w:val="24"/>
          <w:szCs w:val="24"/>
          <w:lang w:val="en-GB"/>
        </w:rPr>
        <w:t xml:space="preserve"> </w:t>
      </w:r>
      <w:r w:rsidR="00C26ABE">
        <w:rPr>
          <w:rFonts w:ascii="Verdana" w:hAnsi="Verdana"/>
          <w:sz w:val="24"/>
          <w:szCs w:val="24"/>
          <w:lang w:val="en-GB"/>
        </w:rPr>
        <w:t>again brought an increase of €12 in payment, less than half what anti-poverty groups had called for</w:t>
      </w:r>
      <w:r w:rsidR="00CC6420">
        <w:rPr>
          <w:rFonts w:ascii="Verdana" w:hAnsi="Verdana"/>
          <w:sz w:val="24"/>
          <w:szCs w:val="24"/>
          <w:lang w:val="en-GB"/>
        </w:rPr>
        <w:t xml:space="preserve"> -</w:t>
      </w:r>
      <w:r w:rsidR="00C26ABE">
        <w:rPr>
          <w:rFonts w:ascii="Verdana" w:hAnsi="Verdana"/>
          <w:sz w:val="24"/>
          <w:szCs w:val="24"/>
          <w:lang w:val="en-GB"/>
        </w:rPr>
        <w:t xml:space="preserve"> simply to keep pace with inflation. </w:t>
      </w:r>
      <w:r w:rsidR="0076219B">
        <w:rPr>
          <w:rFonts w:ascii="Verdana" w:hAnsi="Verdana"/>
          <w:sz w:val="24"/>
          <w:szCs w:val="24"/>
          <w:lang w:val="en-GB"/>
        </w:rPr>
        <w:t xml:space="preserve">As previously highlighted, </w:t>
      </w:r>
      <w:r w:rsidR="0076219B">
        <w:rPr>
          <w:rFonts w:ascii="Verdana" w:hAnsi="Verdana"/>
          <w:iCs/>
          <w:sz w:val="24"/>
          <w:szCs w:val="24"/>
        </w:rPr>
        <w:t xml:space="preserve">the </w:t>
      </w:r>
      <w:r w:rsidR="0076219B" w:rsidRPr="00754FCE">
        <w:rPr>
          <w:rFonts w:ascii="Verdana" w:hAnsi="Verdana"/>
          <w:iCs/>
          <w:sz w:val="24"/>
          <w:szCs w:val="24"/>
        </w:rPr>
        <w:t xml:space="preserve">ESRI’s </w:t>
      </w:r>
      <w:r w:rsidR="00894A62">
        <w:rPr>
          <w:rFonts w:ascii="Verdana" w:hAnsi="Verdana"/>
          <w:iCs/>
          <w:sz w:val="24"/>
          <w:szCs w:val="24"/>
        </w:rPr>
        <w:t>post b</w:t>
      </w:r>
      <w:r w:rsidR="0076219B" w:rsidRPr="00754FCE">
        <w:rPr>
          <w:rFonts w:ascii="Verdana" w:hAnsi="Verdana"/>
          <w:iCs/>
          <w:sz w:val="24"/>
          <w:szCs w:val="24"/>
        </w:rPr>
        <w:t xml:space="preserve">udget </w:t>
      </w:r>
      <w:r w:rsidR="00894A62">
        <w:rPr>
          <w:rFonts w:ascii="Verdana" w:hAnsi="Verdana"/>
          <w:iCs/>
          <w:sz w:val="24"/>
          <w:szCs w:val="24"/>
        </w:rPr>
        <w:t>a</w:t>
      </w:r>
      <w:r w:rsidR="0076219B" w:rsidRPr="00754FCE">
        <w:rPr>
          <w:rFonts w:ascii="Verdana" w:hAnsi="Verdana"/>
          <w:iCs/>
          <w:sz w:val="24"/>
          <w:szCs w:val="24"/>
        </w:rPr>
        <w:t>nalysis</w:t>
      </w:r>
      <w:r w:rsidR="0076219B">
        <w:rPr>
          <w:rFonts w:ascii="Verdana" w:hAnsi="Verdana"/>
          <w:iCs/>
          <w:sz w:val="24"/>
          <w:szCs w:val="24"/>
        </w:rPr>
        <w:t xml:space="preserve"> </w:t>
      </w:r>
      <w:r w:rsidR="00B10152">
        <w:rPr>
          <w:rFonts w:ascii="Verdana" w:hAnsi="Verdana"/>
          <w:iCs/>
          <w:sz w:val="24"/>
          <w:szCs w:val="24"/>
        </w:rPr>
        <w:t xml:space="preserve">demonstrated </w:t>
      </w:r>
      <w:r w:rsidR="0076219B">
        <w:rPr>
          <w:rFonts w:ascii="Verdana" w:hAnsi="Verdana"/>
          <w:iCs/>
          <w:sz w:val="24"/>
          <w:szCs w:val="24"/>
        </w:rPr>
        <w:t xml:space="preserve">that the gains for disabled people in Budget 2024 were only due to the temporary one-off measures. </w:t>
      </w:r>
      <w:r w:rsidR="00D6210F">
        <w:rPr>
          <w:rFonts w:ascii="Verdana" w:hAnsi="Verdana"/>
          <w:iCs/>
          <w:sz w:val="24"/>
          <w:szCs w:val="24"/>
        </w:rPr>
        <w:t>Given the</w:t>
      </w:r>
      <w:r w:rsidR="00AA1734">
        <w:rPr>
          <w:rFonts w:ascii="Verdana" w:hAnsi="Verdana"/>
          <w:iCs/>
          <w:sz w:val="24"/>
          <w:szCs w:val="24"/>
        </w:rPr>
        <w:t>ir</w:t>
      </w:r>
      <w:r w:rsidR="00D6210F">
        <w:rPr>
          <w:rFonts w:ascii="Verdana" w:hAnsi="Verdana"/>
          <w:iCs/>
          <w:sz w:val="24"/>
          <w:szCs w:val="24"/>
        </w:rPr>
        <w:t xml:space="preserve"> high poverty rates, this </w:t>
      </w:r>
      <w:r w:rsidR="006E5EA1">
        <w:rPr>
          <w:rFonts w:ascii="Verdana" w:hAnsi="Verdana"/>
          <w:iCs/>
          <w:sz w:val="24"/>
          <w:szCs w:val="24"/>
        </w:rPr>
        <w:t xml:space="preserve">calls into question the extent to which Budget 2024 was effectively </w:t>
      </w:r>
      <w:proofErr w:type="gramStart"/>
      <w:r w:rsidR="006E5EA1">
        <w:rPr>
          <w:rFonts w:ascii="Verdana" w:hAnsi="Verdana"/>
          <w:iCs/>
          <w:sz w:val="24"/>
          <w:szCs w:val="24"/>
        </w:rPr>
        <w:t>poverty-proofed</w:t>
      </w:r>
      <w:proofErr w:type="gramEnd"/>
      <w:r w:rsidR="006E5EA1">
        <w:rPr>
          <w:rFonts w:ascii="Verdana" w:hAnsi="Verdana"/>
          <w:iCs/>
          <w:sz w:val="24"/>
          <w:szCs w:val="24"/>
        </w:rPr>
        <w:t xml:space="preserve">. </w:t>
      </w:r>
    </w:p>
    <w:p w14:paraId="576ECCA0" w14:textId="5FEA9B57" w:rsidR="00854F08" w:rsidRPr="002E14A3" w:rsidRDefault="0076219B" w:rsidP="001F65A2">
      <w:pPr>
        <w:rPr>
          <w:rFonts w:ascii="Verdana" w:hAnsi="Verdana"/>
          <w:iCs/>
          <w:sz w:val="24"/>
          <w:szCs w:val="24"/>
        </w:rPr>
      </w:pPr>
      <w:r>
        <w:rPr>
          <w:rFonts w:ascii="Verdana" w:hAnsi="Verdana"/>
          <w:sz w:val="24"/>
          <w:szCs w:val="24"/>
          <w:lang w:val="en-GB"/>
        </w:rPr>
        <w:t xml:space="preserve">In a </w:t>
      </w:r>
      <w:r w:rsidR="006E5EA1">
        <w:rPr>
          <w:rFonts w:ascii="Verdana" w:hAnsi="Verdana"/>
          <w:sz w:val="24"/>
          <w:szCs w:val="24"/>
          <w:lang w:val="en-GB"/>
        </w:rPr>
        <w:t xml:space="preserve">previous </w:t>
      </w:r>
      <w:r>
        <w:rPr>
          <w:rFonts w:ascii="Verdana" w:hAnsi="Verdana"/>
          <w:sz w:val="24"/>
          <w:szCs w:val="24"/>
          <w:lang w:val="en-GB"/>
        </w:rPr>
        <w:t xml:space="preserve">paper analysing </w:t>
      </w:r>
      <w:r w:rsidR="006E5EA1">
        <w:rPr>
          <w:rFonts w:ascii="Verdana" w:hAnsi="Verdana"/>
          <w:sz w:val="24"/>
          <w:szCs w:val="24"/>
          <w:lang w:val="en-GB"/>
        </w:rPr>
        <w:t xml:space="preserve">the </w:t>
      </w:r>
      <w:r>
        <w:rPr>
          <w:rFonts w:ascii="Verdana" w:hAnsi="Verdana"/>
          <w:sz w:val="24"/>
          <w:szCs w:val="24"/>
          <w:lang w:val="en-GB"/>
        </w:rPr>
        <w:t>welfare measures in Budget 2023 the ESRI recommended that “</w:t>
      </w:r>
      <w:r w:rsidRPr="000161BC">
        <w:rPr>
          <w:rFonts w:ascii="Verdana" w:hAnsi="Verdana"/>
          <w:b/>
          <w:bCs/>
          <w:sz w:val="24"/>
          <w:szCs w:val="24"/>
          <w:lang w:val="en-GB"/>
        </w:rPr>
        <w:t>once the need for one-off measures to insulate households from inflationary pressures has passed, policymakers may wish to consider benchmarking social welfare payments to reinstate the link between payments and income adequacy</w:t>
      </w:r>
      <w:r>
        <w:rPr>
          <w:rFonts w:ascii="Verdana" w:hAnsi="Verdana"/>
          <w:sz w:val="24"/>
          <w:szCs w:val="24"/>
          <w:lang w:val="en-GB"/>
        </w:rPr>
        <w:t>.”</w:t>
      </w:r>
      <w:r>
        <w:rPr>
          <w:rStyle w:val="FootnoteReference"/>
          <w:rFonts w:ascii="Verdana" w:hAnsi="Verdana"/>
          <w:sz w:val="24"/>
          <w:szCs w:val="24"/>
          <w:lang w:val="en-GB"/>
        </w:rPr>
        <w:footnoteReference w:id="47"/>
      </w:r>
      <w:r w:rsidR="00D14A0A">
        <w:rPr>
          <w:rFonts w:ascii="Verdana" w:hAnsi="Verdana"/>
          <w:sz w:val="24"/>
          <w:szCs w:val="24"/>
          <w:lang w:val="en-GB"/>
        </w:rPr>
        <w:t xml:space="preserve"> As </w:t>
      </w:r>
      <w:r w:rsidR="009B3348">
        <w:rPr>
          <w:rFonts w:ascii="Verdana" w:hAnsi="Verdana"/>
          <w:sz w:val="24"/>
          <w:szCs w:val="24"/>
          <w:lang w:val="en-GB"/>
        </w:rPr>
        <w:t>we have already highlighted</w:t>
      </w:r>
      <w:r w:rsidR="00D14A0A">
        <w:rPr>
          <w:rFonts w:ascii="Verdana" w:hAnsi="Verdana"/>
          <w:sz w:val="24"/>
          <w:szCs w:val="24"/>
          <w:lang w:val="en-GB"/>
        </w:rPr>
        <w:t>, they made the same recommendation when analysing the distributional impact of Budget 2024.</w:t>
      </w:r>
      <w:r w:rsidR="009056C2">
        <w:rPr>
          <w:rFonts w:ascii="Verdana" w:hAnsi="Verdana"/>
          <w:sz w:val="24"/>
          <w:szCs w:val="24"/>
          <w:lang w:val="en-GB"/>
        </w:rPr>
        <w:t xml:space="preserve"> Given the healthy state of the economy and the reduction in the broader impacts of the </w:t>
      </w:r>
      <w:proofErr w:type="gramStart"/>
      <w:r w:rsidR="009056C2">
        <w:rPr>
          <w:rFonts w:ascii="Verdana" w:hAnsi="Verdana"/>
          <w:sz w:val="24"/>
          <w:szCs w:val="24"/>
          <w:lang w:val="en-GB"/>
        </w:rPr>
        <w:t>cost of living</w:t>
      </w:r>
      <w:proofErr w:type="gramEnd"/>
      <w:r w:rsidR="009056C2">
        <w:rPr>
          <w:rFonts w:ascii="Verdana" w:hAnsi="Verdana"/>
          <w:sz w:val="24"/>
          <w:szCs w:val="24"/>
          <w:lang w:val="en-GB"/>
        </w:rPr>
        <w:t xml:space="preserve"> crisis, the government should give serious consideration to this </w:t>
      </w:r>
      <w:r w:rsidR="0055041F">
        <w:rPr>
          <w:rFonts w:ascii="Verdana" w:hAnsi="Verdana"/>
          <w:sz w:val="24"/>
          <w:szCs w:val="24"/>
          <w:lang w:val="en-GB"/>
        </w:rPr>
        <w:t>proposal</w:t>
      </w:r>
      <w:r w:rsidR="00080E28">
        <w:rPr>
          <w:rFonts w:ascii="Verdana" w:hAnsi="Verdana"/>
          <w:sz w:val="24"/>
          <w:szCs w:val="24"/>
          <w:lang w:val="en-GB"/>
        </w:rPr>
        <w:t>.</w:t>
      </w:r>
    </w:p>
    <w:p w14:paraId="47D204D6" w14:textId="7683A044" w:rsidR="007B576D" w:rsidRDefault="00DD59D2" w:rsidP="00E1419B">
      <w:pPr>
        <w:rPr>
          <w:rFonts w:ascii="Verdana" w:hAnsi="Verdana"/>
          <w:sz w:val="24"/>
          <w:szCs w:val="24"/>
          <w:lang w:val="en-GB"/>
        </w:rPr>
      </w:pPr>
      <w:r>
        <w:rPr>
          <w:rFonts w:ascii="Verdana" w:hAnsi="Verdana"/>
          <w:sz w:val="24"/>
          <w:szCs w:val="24"/>
          <w:lang w:val="en-GB"/>
        </w:rPr>
        <w:t>Anti-poverty</w:t>
      </w:r>
      <w:r w:rsidR="00085D02">
        <w:rPr>
          <w:rFonts w:ascii="Verdana" w:hAnsi="Verdana"/>
          <w:sz w:val="24"/>
          <w:szCs w:val="24"/>
          <w:lang w:val="en-GB"/>
        </w:rPr>
        <w:t xml:space="preserve"> groups </w:t>
      </w:r>
      <w:r w:rsidR="00CC184A">
        <w:rPr>
          <w:rFonts w:ascii="Verdana" w:hAnsi="Verdana"/>
          <w:sz w:val="24"/>
          <w:szCs w:val="24"/>
          <w:lang w:val="en-GB"/>
        </w:rPr>
        <w:t>are</w:t>
      </w:r>
      <w:r w:rsidR="00085D02">
        <w:rPr>
          <w:rFonts w:ascii="Verdana" w:hAnsi="Verdana"/>
          <w:sz w:val="24"/>
          <w:szCs w:val="24"/>
          <w:lang w:val="en-GB"/>
        </w:rPr>
        <w:t xml:space="preserve"> recommending </w:t>
      </w:r>
      <w:r w:rsidR="00085D02" w:rsidRPr="00534AF0">
        <w:rPr>
          <w:rFonts w:ascii="Verdana" w:hAnsi="Verdana"/>
          <w:b/>
          <w:bCs/>
          <w:sz w:val="24"/>
          <w:szCs w:val="24"/>
          <w:lang w:val="en-GB"/>
        </w:rPr>
        <w:t>an increase of at minimum €20 in Budget 2025</w:t>
      </w:r>
      <w:r w:rsidR="00CC184A" w:rsidRPr="00534AF0">
        <w:rPr>
          <w:rFonts w:ascii="Verdana" w:hAnsi="Verdana"/>
          <w:b/>
          <w:bCs/>
          <w:sz w:val="24"/>
          <w:szCs w:val="24"/>
          <w:lang w:val="en-GB"/>
        </w:rPr>
        <w:t xml:space="preserve"> to restore the purchasing power of the payment to 2020 levels and improve the adequacy of the payment based on MESL data</w:t>
      </w:r>
      <w:r w:rsidR="00CC184A" w:rsidRPr="007B576D">
        <w:rPr>
          <w:rFonts w:ascii="Verdana" w:hAnsi="Verdana"/>
          <w:sz w:val="24"/>
          <w:szCs w:val="24"/>
          <w:lang w:val="en-GB"/>
        </w:rPr>
        <w:t>.</w:t>
      </w:r>
    </w:p>
    <w:p w14:paraId="29EA9B6C" w14:textId="65AB84AC" w:rsidR="0079247D" w:rsidRDefault="00A529AC" w:rsidP="00647C56">
      <w:pPr>
        <w:rPr>
          <w:rFonts w:ascii="Verdana" w:hAnsi="Verdana"/>
          <w:sz w:val="24"/>
          <w:szCs w:val="24"/>
          <w:lang w:val="en-GB"/>
        </w:rPr>
      </w:pPr>
      <w:r>
        <w:rPr>
          <w:rFonts w:ascii="Verdana" w:hAnsi="Verdana"/>
          <w:sz w:val="24"/>
          <w:szCs w:val="24"/>
          <w:lang w:val="en-GB"/>
        </w:rPr>
        <w:t>A</w:t>
      </w:r>
      <w:r w:rsidR="00CD58D1">
        <w:rPr>
          <w:rFonts w:ascii="Verdana" w:hAnsi="Verdana"/>
          <w:sz w:val="24"/>
          <w:szCs w:val="24"/>
          <w:lang w:val="en-GB"/>
        </w:rPr>
        <w:t xml:space="preserve">s previously noted, </w:t>
      </w:r>
      <w:r w:rsidR="00CD58D1" w:rsidRPr="00AC3E61">
        <w:rPr>
          <w:rFonts w:ascii="Verdana" w:hAnsi="Verdana"/>
          <w:b/>
          <w:bCs/>
          <w:sz w:val="24"/>
          <w:szCs w:val="24"/>
          <w:lang w:val="en-GB"/>
        </w:rPr>
        <w:t>the continuity of providing a ‘Disability Support Grant’ for the second year in a row in Budget 2024 was welcome</w:t>
      </w:r>
      <w:r w:rsidR="00BF5252" w:rsidRPr="00AC3E61">
        <w:rPr>
          <w:rFonts w:ascii="Verdana" w:hAnsi="Verdana"/>
          <w:b/>
          <w:bCs/>
          <w:sz w:val="24"/>
          <w:szCs w:val="24"/>
          <w:lang w:val="en-GB"/>
        </w:rPr>
        <w:t xml:space="preserve">. </w:t>
      </w:r>
      <w:proofErr w:type="gramStart"/>
      <w:r w:rsidR="00433186" w:rsidRPr="00AC3E61">
        <w:rPr>
          <w:rFonts w:ascii="Verdana" w:hAnsi="Verdana"/>
          <w:b/>
          <w:bCs/>
          <w:sz w:val="24"/>
          <w:szCs w:val="24"/>
          <w:lang w:val="en-GB"/>
        </w:rPr>
        <w:t>However</w:t>
      </w:r>
      <w:proofErr w:type="gramEnd"/>
      <w:r w:rsidR="00BF5252" w:rsidRPr="00AC3E61">
        <w:rPr>
          <w:rFonts w:ascii="Verdana" w:hAnsi="Verdana"/>
          <w:b/>
          <w:bCs/>
          <w:sz w:val="24"/>
          <w:szCs w:val="24"/>
          <w:lang w:val="en-GB"/>
        </w:rPr>
        <w:t xml:space="preserve"> the 20% cut in th</w:t>
      </w:r>
      <w:r w:rsidR="00AA1E8D" w:rsidRPr="00AC3E61">
        <w:rPr>
          <w:rFonts w:ascii="Verdana" w:hAnsi="Verdana"/>
          <w:b/>
          <w:bCs/>
          <w:sz w:val="24"/>
          <w:szCs w:val="24"/>
          <w:lang w:val="en-GB"/>
        </w:rPr>
        <w:t>e</w:t>
      </w:r>
      <w:r w:rsidR="00BF5252" w:rsidRPr="00AC3E61">
        <w:rPr>
          <w:rFonts w:ascii="Verdana" w:hAnsi="Verdana"/>
          <w:b/>
          <w:bCs/>
          <w:sz w:val="24"/>
          <w:szCs w:val="24"/>
          <w:lang w:val="en-GB"/>
        </w:rPr>
        <w:t xml:space="preserve"> grant last year (from €500 to €400) is very hard to justify in terms of the available evidence</w:t>
      </w:r>
      <w:r w:rsidR="00782E1E">
        <w:rPr>
          <w:rFonts w:ascii="Verdana" w:hAnsi="Verdana"/>
          <w:sz w:val="24"/>
          <w:szCs w:val="24"/>
          <w:lang w:val="en-GB"/>
        </w:rPr>
        <w:t>.</w:t>
      </w:r>
      <w:r w:rsidR="00BF5252">
        <w:rPr>
          <w:rFonts w:ascii="Verdana" w:hAnsi="Verdana"/>
          <w:sz w:val="24"/>
          <w:szCs w:val="24"/>
          <w:lang w:val="en-GB"/>
        </w:rPr>
        <w:t xml:space="preserve"> </w:t>
      </w:r>
      <w:r w:rsidR="00782E1E">
        <w:rPr>
          <w:rFonts w:ascii="Verdana" w:hAnsi="Verdana"/>
          <w:sz w:val="24"/>
          <w:szCs w:val="24"/>
          <w:lang w:val="en-GB"/>
        </w:rPr>
        <w:t>T</w:t>
      </w:r>
      <w:r w:rsidR="00433186">
        <w:rPr>
          <w:rFonts w:ascii="Verdana" w:hAnsi="Verdana"/>
          <w:sz w:val="24"/>
          <w:szCs w:val="24"/>
          <w:lang w:val="en-GB"/>
        </w:rPr>
        <w:t>his</w:t>
      </w:r>
      <w:r w:rsidR="00782E1E">
        <w:rPr>
          <w:rFonts w:ascii="Verdana" w:hAnsi="Verdana"/>
          <w:sz w:val="24"/>
          <w:szCs w:val="24"/>
          <w:lang w:val="en-GB"/>
        </w:rPr>
        <w:t xml:space="preserve"> provision</w:t>
      </w:r>
      <w:r w:rsidR="00433186">
        <w:rPr>
          <w:rFonts w:ascii="Verdana" w:hAnsi="Verdana"/>
          <w:sz w:val="24"/>
          <w:szCs w:val="24"/>
          <w:lang w:val="en-GB"/>
        </w:rPr>
        <w:t xml:space="preserve"> was clearly far from sufficient, </w:t>
      </w:r>
      <w:r w:rsidR="002347C8">
        <w:rPr>
          <w:rFonts w:ascii="Verdana" w:hAnsi="Verdana"/>
          <w:sz w:val="24"/>
          <w:szCs w:val="24"/>
          <w:lang w:val="en-GB"/>
        </w:rPr>
        <w:t xml:space="preserve">addressing less than one twentieth of the costs in the </w:t>
      </w:r>
      <w:proofErr w:type="spellStart"/>
      <w:r w:rsidR="002347C8">
        <w:rPr>
          <w:rFonts w:ascii="Verdana" w:hAnsi="Verdana"/>
          <w:sz w:val="24"/>
          <w:szCs w:val="24"/>
          <w:lang w:val="en-GB"/>
        </w:rPr>
        <w:t>I</w:t>
      </w:r>
      <w:r w:rsidR="00B54969">
        <w:rPr>
          <w:rFonts w:ascii="Verdana" w:hAnsi="Verdana"/>
          <w:sz w:val="24"/>
          <w:szCs w:val="24"/>
          <w:lang w:val="en-GB"/>
        </w:rPr>
        <w:t>ndecon</w:t>
      </w:r>
      <w:proofErr w:type="spellEnd"/>
      <w:r w:rsidR="002347C8">
        <w:rPr>
          <w:rFonts w:ascii="Verdana" w:hAnsi="Verdana"/>
          <w:sz w:val="24"/>
          <w:szCs w:val="24"/>
          <w:lang w:val="en-GB"/>
        </w:rPr>
        <w:t xml:space="preserve"> report</w:t>
      </w:r>
      <w:r w:rsidR="00BA5069">
        <w:rPr>
          <w:rFonts w:ascii="Verdana" w:hAnsi="Verdana"/>
          <w:sz w:val="24"/>
          <w:szCs w:val="24"/>
          <w:lang w:val="en-GB"/>
        </w:rPr>
        <w:t xml:space="preserve">, and providing only one-off support for costs that are </w:t>
      </w:r>
      <w:r w:rsidR="004122AB">
        <w:rPr>
          <w:rFonts w:ascii="Verdana" w:hAnsi="Verdana"/>
          <w:sz w:val="24"/>
          <w:szCs w:val="24"/>
          <w:lang w:val="en-GB"/>
        </w:rPr>
        <w:t>lifelong</w:t>
      </w:r>
      <w:r w:rsidR="002347C8">
        <w:rPr>
          <w:rFonts w:ascii="Verdana" w:hAnsi="Verdana"/>
          <w:sz w:val="24"/>
          <w:szCs w:val="24"/>
          <w:lang w:val="en-GB"/>
        </w:rPr>
        <w:t xml:space="preserve">. </w:t>
      </w:r>
      <w:r w:rsidR="008F142C">
        <w:rPr>
          <w:rFonts w:ascii="Verdana" w:hAnsi="Verdana"/>
          <w:sz w:val="24"/>
          <w:szCs w:val="24"/>
          <w:lang w:val="en-GB"/>
        </w:rPr>
        <w:t>T</w:t>
      </w:r>
      <w:r w:rsidR="0079247D">
        <w:rPr>
          <w:rFonts w:ascii="Verdana" w:hAnsi="Verdana"/>
          <w:sz w:val="24"/>
          <w:szCs w:val="24"/>
          <w:lang w:val="en-GB"/>
        </w:rPr>
        <w:t>he grant should be retained and increased</w:t>
      </w:r>
      <w:r w:rsidR="00235F97">
        <w:rPr>
          <w:rFonts w:ascii="Verdana" w:hAnsi="Verdana"/>
          <w:sz w:val="24"/>
          <w:szCs w:val="24"/>
          <w:lang w:val="en-GB"/>
        </w:rPr>
        <w:t xml:space="preserve"> in Budget 2025</w:t>
      </w:r>
      <w:r w:rsidR="0079247D">
        <w:rPr>
          <w:rFonts w:ascii="Verdana" w:hAnsi="Verdana"/>
          <w:sz w:val="24"/>
          <w:szCs w:val="24"/>
          <w:lang w:val="en-GB"/>
        </w:rPr>
        <w:t xml:space="preserve">. </w:t>
      </w:r>
    </w:p>
    <w:p w14:paraId="45276107" w14:textId="2AE3D9C1" w:rsidR="00237D71" w:rsidRDefault="00235F97" w:rsidP="00647C56">
      <w:pPr>
        <w:rPr>
          <w:rFonts w:ascii="Verdana" w:hAnsi="Verdana"/>
          <w:sz w:val="24"/>
          <w:szCs w:val="24"/>
          <w:lang w:val="en-GB"/>
        </w:rPr>
      </w:pPr>
      <w:r>
        <w:rPr>
          <w:rFonts w:ascii="Verdana" w:hAnsi="Verdana"/>
          <w:sz w:val="24"/>
          <w:szCs w:val="24"/>
          <w:lang w:val="en-GB"/>
        </w:rPr>
        <w:t xml:space="preserve">It was disappointing not to see </w:t>
      </w:r>
      <w:r w:rsidR="004122AB">
        <w:rPr>
          <w:rFonts w:ascii="Verdana" w:hAnsi="Verdana"/>
          <w:sz w:val="24"/>
          <w:szCs w:val="24"/>
          <w:lang w:val="en-GB"/>
        </w:rPr>
        <w:t>an increase in</w:t>
      </w:r>
      <w:r w:rsidR="006F411D">
        <w:rPr>
          <w:rFonts w:ascii="Verdana" w:hAnsi="Verdana"/>
          <w:sz w:val="24"/>
          <w:szCs w:val="24"/>
          <w:lang w:val="en-GB"/>
        </w:rPr>
        <w:t xml:space="preserve"> the disability income disregard</w:t>
      </w:r>
      <w:r>
        <w:rPr>
          <w:rFonts w:ascii="Verdana" w:hAnsi="Verdana"/>
          <w:sz w:val="24"/>
          <w:szCs w:val="24"/>
          <w:lang w:val="en-GB"/>
        </w:rPr>
        <w:t xml:space="preserve"> in Budget 2024, and it will be important to see significant progress on this in Budget 2025.</w:t>
      </w:r>
      <w:r w:rsidR="00220C53">
        <w:rPr>
          <w:rFonts w:ascii="Verdana" w:hAnsi="Verdana"/>
          <w:sz w:val="24"/>
          <w:szCs w:val="24"/>
          <w:lang w:val="en-GB"/>
        </w:rPr>
        <w:t xml:space="preserve"> </w:t>
      </w:r>
      <w:r w:rsidR="00FE7D2E">
        <w:rPr>
          <w:rFonts w:ascii="Verdana" w:hAnsi="Verdana"/>
          <w:sz w:val="24"/>
          <w:szCs w:val="24"/>
          <w:lang w:val="en-GB"/>
        </w:rPr>
        <w:t>That said, t</w:t>
      </w:r>
      <w:r w:rsidR="00D54492">
        <w:rPr>
          <w:rFonts w:ascii="Verdana" w:hAnsi="Verdana"/>
          <w:sz w:val="24"/>
          <w:szCs w:val="24"/>
          <w:lang w:val="en-GB"/>
        </w:rPr>
        <w:t>h</w:t>
      </w:r>
      <w:r w:rsidR="00873C56">
        <w:rPr>
          <w:rFonts w:ascii="Verdana" w:hAnsi="Verdana"/>
          <w:sz w:val="24"/>
          <w:szCs w:val="24"/>
          <w:lang w:val="en-GB"/>
        </w:rPr>
        <w:t xml:space="preserve">e income disregard increase </w:t>
      </w:r>
      <w:r w:rsidR="00873C56">
        <w:rPr>
          <w:rFonts w:ascii="Verdana" w:hAnsi="Verdana"/>
          <w:sz w:val="24"/>
          <w:szCs w:val="24"/>
          <w:lang w:val="en-GB"/>
        </w:rPr>
        <w:lastRenderedPageBreak/>
        <w:t>brought in in Budget 2023</w:t>
      </w:r>
      <w:r w:rsidR="00D54492">
        <w:rPr>
          <w:rFonts w:ascii="Verdana" w:hAnsi="Verdana"/>
          <w:sz w:val="24"/>
          <w:szCs w:val="24"/>
          <w:lang w:val="en-GB"/>
        </w:rPr>
        <w:t xml:space="preserve"> was</w:t>
      </w:r>
      <w:r w:rsidR="00741178" w:rsidRPr="006D05A9">
        <w:rPr>
          <w:rFonts w:ascii="Verdana" w:hAnsi="Verdana"/>
          <w:sz w:val="24"/>
          <w:szCs w:val="24"/>
          <w:lang w:val="en-GB"/>
        </w:rPr>
        <w:t xml:space="preserve"> estimated </w:t>
      </w:r>
      <w:r w:rsidR="007E2FB2" w:rsidRPr="006D05A9">
        <w:rPr>
          <w:rFonts w:ascii="Verdana" w:hAnsi="Verdana"/>
          <w:sz w:val="24"/>
          <w:szCs w:val="24"/>
          <w:lang w:val="en-GB"/>
        </w:rPr>
        <w:t xml:space="preserve">by the Department </w:t>
      </w:r>
      <w:r w:rsidR="007B4809" w:rsidRPr="006D05A9">
        <w:rPr>
          <w:rFonts w:ascii="Verdana" w:hAnsi="Verdana"/>
          <w:sz w:val="24"/>
          <w:szCs w:val="24"/>
          <w:lang w:val="en-GB"/>
        </w:rPr>
        <w:t xml:space="preserve">to impact </w:t>
      </w:r>
      <w:r w:rsidR="00741178" w:rsidRPr="006D05A9">
        <w:rPr>
          <w:rFonts w:ascii="Verdana" w:hAnsi="Verdana"/>
          <w:sz w:val="24"/>
          <w:szCs w:val="24"/>
          <w:lang w:val="en-GB"/>
        </w:rPr>
        <w:t xml:space="preserve">on </w:t>
      </w:r>
      <w:r w:rsidR="0099296A">
        <w:rPr>
          <w:rFonts w:ascii="Verdana" w:hAnsi="Verdana"/>
          <w:sz w:val="24"/>
          <w:szCs w:val="24"/>
          <w:lang w:val="en-GB"/>
        </w:rPr>
        <w:t>8,674</w:t>
      </w:r>
      <w:r w:rsidR="00741178" w:rsidRPr="006D05A9">
        <w:rPr>
          <w:rFonts w:ascii="Verdana" w:hAnsi="Verdana"/>
          <w:sz w:val="24"/>
          <w:szCs w:val="24"/>
          <w:lang w:val="en-GB"/>
        </w:rPr>
        <w:t xml:space="preserve"> </w:t>
      </w:r>
      <w:r w:rsidR="00137473">
        <w:rPr>
          <w:rFonts w:ascii="Verdana" w:hAnsi="Verdana"/>
          <w:sz w:val="24"/>
          <w:szCs w:val="24"/>
          <w:lang w:val="en-GB"/>
        </w:rPr>
        <w:t>Disability Allowance</w:t>
      </w:r>
      <w:r w:rsidR="007E2FB2" w:rsidRPr="006D05A9">
        <w:rPr>
          <w:rFonts w:ascii="Verdana" w:hAnsi="Verdana"/>
          <w:sz w:val="24"/>
          <w:szCs w:val="24"/>
          <w:lang w:val="en-GB"/>
        </w:rPr>
        <w:t xml:space="preserve"> recipients, </w:t>
      </w:r>
      <w:r w:rsidR="001A5124">
        <w:rPr>
          <w:rFonts w:ascii="Verdana" w:hAnsi="Verdana"/>
          <w:sz w:val="24"/>
          <w:szCs w:val="24"/>
          <w:lang w:val="en-GB"/>
        </w:rPr>
        <w:t>meaning it affected approximately 5.</w:t>
      </w:r>
      <w:r w:rsidR="00DE3125">
        <w:rPr>
          <w:rFonts w:ascii="Verdana" w:hAnsi="Verdana"/>
          <w:sz w:val="24"/>
          <w:szCs w:val="24"/>
          <w:lang w:val="en-GB"/>
        </w:rPr>
        <w:t>5</w:t>
      </w:r>
      <w:r w:rsidR="007E2FB2" w:rsidRPr="006D05A9">
        <w:rPr>
          <w:rFonts w:ascii="Verdana" w:hAnsi="Verdana"/>
          <w:sz w:val="24"/>
          <w:szCs w:val="24"/>
          <w:lang w:val="en-GB"/>
        </w:rPr>
        <w:t>%</w:t>
      </w:r>
      <w:r w:rsidR="001E70B4" w:rsidRPr="006D05A9">
        <w:rPr>
          <w:rFonts w:ascii="Verdana" w:hAnsi="Verdana"/>
          <w:sz w:val="24"/>
          <w:szCs w:val="24"/>
          <w:lang w:val="en-GB"/>
        </w:rPr>
        <w:t xml:space="preserve"> of those receiving </w:t>
      </w:r>
      <w:r w:rsidR="00137473">
        <w:rPr>
          <w:rFonts w:ascii="Verdana" w:hAnsi="Verdana"/>
          <w:sz w:val="24"/>
          <w:szCs w:val="24"/>
          <w:lang w:val="en-GB"/>
        </w:rPr>
        <w:t>the payment at the time</w:t>
      </w:r>
      <w:r w:rsidR="001A5124">
        <w:rPr>
          <w:rFonts w:ascii="Verdana" w:hAnsi="Verdana"/>
          <w:sz w:val="24"/>
          <w:szCs w:val="24"/>
          <w:lang w:val="en-GB"/>
        </w:rPr>
        <w:t>, showing there is a long way to go towards improving disability employment levels</w:t>
      </w:r>
      <w:r w:rsidR="001E70B4">
        <w:rPr>
          <w:rFonts w:ascii="Verdana" w:hAnsi="Verdana"/>
          <w:sz w:val="24"/>
          <w:szCs w:val="24"/>
          <w:lang w:val="en-GB"/>
        </w:rPr>
        <w:t xml:space="preserve">. </w:t>
      </w:r>
    </w:p>
    <w:p w14:paraId="48F37C79" w14:textId="5A16CACF" w:rsidR="00B354CF" w:rsidRDefault="007206B6" w:rsidP="00647C56">
      <w:pPr>
        <w:rPr>
          <w:rFonts w:ascii="Verdana" w:hAnsi="Verdana"/>
          <w:sz w:val="24"/>
          <w:szCs w:val="24"/>
          <w:lang w:val="en-GB"/>
        </w:rPr>
      </w:pPr>
      <w:r w:rsidRPr="009B6B76">
        <w:rPr>
          <w:rFonts w:ascii="Verdana" w:hAnsi="Verdana"/>
          <w:sz w:val="24"/>
          <w:szCs w:val="24"/>
          <w:lang w:val="en-GB"/>
        </w:rPr>
        <w:t xml:space="preserve">DFI </w:t>
      </w:r>
      <w:r w:rsidR="00B8636D">
        <w:rPr>
          <w:rFonts w:ascii="Verdana" w:hAnsi="Verdana"/>
          <w:sz w:val="24"/>
          <w:szCs w:val="24"/>
          <w:lang w:val="en-GB"/>
        </w:rPr>
        <w:t xml:space="preserve">has expressed concern for some years regarding the </w:t>
      </w:r>
      <w:r w:rsidRPr="009B6B76">
        <w:rPr>
          <w:rFonts w:ascii="Verdana" w:hAnsi="Verdana"/>
          <w:sz w:val="24"/>
          <w:szCs w:val="24"/>
          <w:lang w:val="en-GB"/>
        </w:rPr>
        <w:t xml:space="preserve">disability proofing of the </w:t>
      </w:r>
      <w:r w:rsidR="00693DC7" w:rsidRPr="009B6B76">
        <w:rPr>
          <w:rFonts w:ascii="Verdana" w:hAnsi="Verdana"/>
          <w:sz w:val="24"/>
          <w:szCs w:val="24"/>
          <w:lang w:val="en-GB"/>
        </w:rPr>
        <w:t xml:space="preserve">annual </w:t>
      </w:r>
      <w:r w:rsidRPr="009B6B76">
        <w:rPr>
          <w:rFonts w:ascii="Verdana" w:hAnsi="Verdana"/>
          <w:sz w:val="24"/>
          <w:szCs w:val="24"/>
          <w:lang w:val="en-GB"/>
        </w:rPr>
        <w:t xml:space="preserve">Budget. </w:t>
      </w:r>
      <w:r w:rsidR="00A60B65" w:rsidRPr="009B6B76">
        <w:rPr>
          <w:rFonts w:ascii="Verdana" w:hAnsi="Verdana"/>
          <w:sz w:val="24"/>
          <w:szCs w:val="24"/>
          <w:lang w:val="en-GB"/>
        </w:rPr>
        <w:t>Department responses</w:t>
      </w:r>
      <w:r w:rsidR="00E17455" w:rsidRPr="009B6B76">
        <w:rPr>
          <w:rFonts w:ascii="Verdana" w:hAnsi="Verdana"/>
          <w:sz w:val="24"/>
          <w:szCs w:val="24"/>
          <w:lang w:val="en-GB"/>
        </w:rPr>
        <w:t xml:space="preserve"> </w:t>
      </w:r>
      <w:r w:rsidR="00B8636D">
        <w:rPr>
          <w:rFonts w:ascii="Verdana" w:hAnsi="Verdana"/>
          <w:sz w:val="24"/>
          <w:szCs w:val="24"/>
          <w:lang w:val="en-GB"/>
        </w:rPr>
        <w:t xml:space="preserve">to our queries in previous years had </w:t>
      </w:r>
      <w:r w:rsidR="00A60B65" w:rsidRPr="009B6B76">
        <w:rPr>
          <w:rFonts w:ascii="Verdana" w:hAnsi="Verdana"/>
          <w:sz w:val="24"/>
          <w:szCs w:val="24"/>
          <w:lang w:val="en-GB"/>
        </w:rPr>
        <w:t>indicate</w:t>
      </w:r>
      <w:r w:rsidR="00E17455" w:rsidRPr="009B6B76">
        <w:rPr>
          <w:rFonts w:ascii="Verdana" w:hAnsi="Verdana"/>
          <w:sz w:val="24"/>
          <w:szCs w:val="24"/>
          <w:lang w:val="en-GB"/>
        </w:rPr>
        <w:t>d</w:t>
      </w:r>
      <w:r w:rsidR="00A60B65" w:rsidRPr="009B6B76">
        <w:rPr>
          <w:rFonts w:ascii="Verdana" w:hAnsi="Verdana"/>
          <w:sz w:val="24"/>
          <w:szCs w:val="24"/>
          <w:lang w:val="en-GB"/>
        </w:rPr>
        <w:t xml:space="preserve"> that the </w:t>
      </w:r>
      <w:r w:rsidR="0022025C" w:rsidRPr="009B6B76">
        <w:rPr>
          <w:rFonts w:ascii="Verdana" w:hAnsi="Verdana"/>
          <w:sz w:val="24"/>
          <w:szCs w:val="24"/>
          <w:lang w:val="en-GB"/>
        </w:rPr>
        <w:t xml:space="preserve">ESRI’s </w:t>
      </w:r>
      <w:r w:rsidR="00A60B65" w:rsidRPr="009B6B76">
        <w:rPr>
          <w:rFonts w:ascii="Verdana" w:hAnsi="Verdana"/>
          <w:sz w:val="24"/>
          <w:szCs w:val="24"/>
          <w:lang w:val="en-GB"/>
        </w:rPr>
        <w:t>SWITCH model</w:t>
      </w:r>
      <w:r w:rsidR="0022025C" w:rsidRPr="009B6B76">
        <w:rPr>
          <w:rFonts w:ascii="Verdana" w:hAnsi="Verdana"/>
          <w:sz w:val="24"/>
          <w:szCs w:val="24"/>
          <w:lang w:val="en-GB"/>
        </w:rPr>
        <w:t>, the key tool</w:t>
      </w:r>
      <w:r w:rsidR="00A60B65" w:rsidRPr="009B6B76">
        <w:rPr>
          <w:rFonts w:ascii="Verdana" w:hAnsi="Verdana"/>
          <w:sz w:val="24"/>
          <w:szCs w:val="24"/>
          <w:lang w:val="en-GB"/>
        </w:rPr>
        <w:t xml:space="preserve"> used to assess</w:t>
      </w:r>
      <w:r w:rsidR="0022025C" w:rsidRPr="009B6B76">
        <w:rPr>
          <w:rFonts w:ascii="Verdana" w:hAnsi="Verdana"/>
          <w:sz w:val="24"/>
          <w:szCs w:val="24"/>
          <w:lang w:val="en-GB"/>
        </w:rPr>
        <w:t xml:space="preserve"> the social impact of budget</w:t>
      </w:r>
      <w:r w:rsidR="00F831B4" w:rsidRPr="009B6B76">
        <w:rPr>
          <w:rFonts w:ascii="Verdana" w:hAnsi="Verdana"/>
          <w:sz w:val="24"/>
          <w:szCs w:val="24"/>
          <w:lang w:val="en-GB"/>
        </w:rPr>
        <w:t xml:space="preserve">ary options, </w:t>
      </w:r>
      <w:r w:rsidR="00A14DC4" w:rsidRPr="009B6B76">
        <w:rPr>
          <w:rFonts w:ascii="Verdana" w:hAnsi="Verdana"/>
          <w:sz w:val="24"/>
          <w:szCs w:val="24"/>
          <w:lang w:val="en-GB"/>
        </w:rPr>
        <w:t>“</w:t>
      </w:r>
      <w:r w:rsidR="005A557A" w:rsidRPr="009B6B76">
        <w:rPr>
          <w:rFonts w:ascii="Verdana" w:hAnsi="Verdana"/>
          <w:sz w:val="24"/>
          <w:szCs w:val="24"/>
          <w:lang w:val="en-GB"/>
        </w:rPr>
        <w:t>does not include specific analysis for people with disabilities</w:t>
      </w:r>
      <w:r w:rsidR="00A14DC4" w:rsidRPr="009B6B76">
        <w:rPr>
          <w:rFonts w:ascii="Verdana" w:hAnsi="Verdana"/>
          <w:sz w:val="24"/>
          <w:szCs w:val="24"/>
          <w:lang w:val="en-GB"/>
        </w:rPr>
        <w:t>”</w:t>
      </w:r>
      <w:r w:rsidR="009B6B76">
        <w:rPr>
          <w:rFonts w:ascii="Verdana" w:hAnsi="Verdana"/>
          <w:sz w:val="24"/>
          <w:szCs w:val="24"/>
          <w:lang w:val="en-GB"/>
        </w:rPr>
        <w:t xml:space="preserve">, and ESRI studies </w:t>
      </w:r>
      <w:r w:rsidR="00B8636D">
        <w:rPr>
          <w:rFonts w:ascii="Verdana" w:hAnsi="Verdana"/>
          <w:sz w:val="24"/>
          <w:szCs w:val="24"/>
          <w:lang w:val="en-GB"/>
        </w:rPr>
        <w:t>the year before last</w:t>
      </w:r>
      <w:r w:rsidR="009B6B76">
        <w:rPr>
          <w:rFonts w:ascii="Verdana" w:hAnsi="Verdana"/>
          <w:sz w:val="24"/>
          <w:szCs w:val="24"/>
          <w:lang w:val="en-GB"/>
        </w:rPr>
        <w:t xml:space="preserve"> also confirmed th</w:t>
      </w:r>
      <w:r w:rsidR="003B36B3">
        <w:rPr>
          <w:rFonts w:ascii="Verdana" w:hAnsi="Verdana"/>
          <w:sz w:val="24"/>
          <w:szCs w:val="24"/>
          <w:lang w:val="en-GB"/>
        </w:rPr>
        <w:t>is</w:t>
      </w:r>
      <w:r w:rsidR="009B6B76">
        <w:rPr>
          <w:rFonts w:ascii="Verdana" w:hAnsi="Verdana"/>
          <w:sz w:val="24"/>
          <w:szCs w:val="24"/>
          <w:lang w:val="en-GB"/>
        </w:rPr>
        <w:t xml:space="preserve"> limitation of the model</w:t>
      </w:r>
      <w:r w:rsidR="00E86029" w:rsidRPr="009B6B76">
        <w:rPr>
          <w:rFonts w:ascii="Verdana" w:hAnsi="Verdana"/>
          <w:sz w:val="24"/>
          <w:szCs w:val="24"/>
          <w:lang w:val="en-GB"/>
        </w:rPr>
        <w:t>.</w:t>
      </w:r>
      <w:r w:rsidR="00E17455" w:rsidRPr="009B6B76">
        <w:rPr>
          <w:rFonts w:ascii="Verdana" w:hAnsi="Verdana"/>
          <w:sz w:val="24"/>
          <w:szCs w:val="24"/>
          <w:lang w:val="en-GB"/>
        </w:rPr>
        <w:t xml:space="preserve"> </w:t>
      </w:r>
    </w:p>
    <w:p w14:paraId="17E828E8" w14:textId="79B82E37" w:rsidR="00B41C51" w:rsidRPr="00FC23E0" w:rsidRDefault="00B8636D" w:rsidP="00647C56">
      <w:pPr>
        <w:rPr>
          <w:rFonts w:ascii="Verdana" w:hAnsi="Verdana"/>
          <w:b/>
          <w:bCs/>
          <w:sz w:val="24"/>
          <w:szCs w:val="24"/>
          <w:lang w:val="en-GB"/>
        </w:rPr>
      </w:pPr>
      <w:r>
        <w:rPr>
          <w:rFonts w:ascii="Verdana" w:hAnsi="Verdana"/>
          <w:sz w:val="24"/>
          <w:szCs w:val="24"/>
          <w:lang w:val="en-GB"/>
        </w:rPr>
        <w:t xml:space="preserve">In this context </w:t>
      </w:r>
      <w:r w:rsidRPr="00FC23E0">
        <w:rPr>
          <w:rFonts w:ascii="Verdana" w:hAnsi="Verdana"/>
          <w:b/>
          <w:bCs/>
          <w:sz w:val="24"/>
          <w:szCs w:val="24"/>
          <w:lang w:val="en-GB"/>
        </w:rPr>
        <w:t>we strongly welcome</w:t>
      </w:r>
      <w:r>
        <w:rPr>
          <w:rFonts w:ascii="Verdana" w:hAnsi="Verdana"/>
          <w:sz w:val="24"/>
          <w:szCs w:val="24"/>
          <w:lang w:val="en-GB"/>
        </w:rPr>
        <w:t xml:space="preserve"> the </w:t>
      </w:r>
      <w:r w:rsidR="008F5C14" w:rsidRPr="009B6B76">
        <w:rPr>
          <w:rFonts w:ascii="Verdana" w:hAnsi="Verdana"/>
          <w:sz w:val="24"/>
          <w:szCs w:val="24"/>
          <w:lang w:val="en-GB"/>
        </w:rPr>
        <w:t xml:space="preserve">indication </w:t>
      </w:r>
      <w:r w:rsidR="0017535F">
        <w:rPr>
          <w:rFonts w:ascii="Verdana" w:hAnsi="Verdana"/>
          <w:sz w:val="24"/>
          <w:szCs w:val="24"/>
          <w:lang w:val="en-GB"/>
        </w:rPr>
        <w:t>from the Department</w:t>
      </w:r>
      <w:r w:rsidR="00E61019">
        <w:rPr>
          <w:rFonts w:ascii="Verdana" w:hAnsi="Verdana"/>
          <w:sz w:val="24"/>
          <w:szCs w:val="24"/>
          <w:lang w:val="en-GB"/>
        </w:rPr>
        <w:t xml:space="preserve"> that</w:t>
      </w:r>
      <w:r w:rsidR="0017535F">
        <w:rPr>
          <w:rFonts w:ascii="Verdana" w:hAnsi="Verdana"/>
          <w:sz w:val="24"/>
          <w:szCs w:val="24"/>
          <w:lang w:val="en-GB"/>
        </w:rPr>
        <w:t xml:space="preserve"> </w:t>
      </w:r>
      <w:r w:rsidR="00096C9C">
        <w:rPr>
          <w:rFonts w:ascii="Verdana" w:hAnsi="Verdana"/>
          <w:sz w:val="24"/>
          <w:szCs w:val="24"/>
          <w:lang w:val="en-GB"/>
        </w:rPr>
        <w:t xml:space="preserve">this key </w:t>
      </w:r>
      <w:r w:rsidR="00C158C7">
        <w:rPr>
          <w:rFonts w:ascii="Verdana" w:hAnsi="Verdana"/>
          <w:sz w:val="24"/>
          <w:szCs w:val="24"/>
          <w:lang w:val="en-GB"/>
        </w:rPr>
        <w:t>problem</w:t>
      </w:r>
      <w:r w:rsidR="00096C9C">
        <w:rPr>
          <w:rFonts w:ascii="Verdana" w:hAnsi="Verdana"/>
          <w:sz w:val="24"/>
          <w:szCs w:val="24"/>
          <w:lang w:val="en-GB"/>
        </w:rPr>
        <w:t xml:space="preserve"> with the SWITCH model’s effectiveness has </w:t>
      </w:r>
      <w:r w:rsidR="0011595C">
        <w:rPr>
          <w:rFonts w:ascii="Verdana" w:hAnsi="Verdana"/>
          <w:sz w:val="24"/>
          <w:szCs w:val="24"/>
          <w:lang w:val="en-GB"/>
        </w:rPr>
        <w:t xml:space="preserve">now </w:t>
      </w:r>
      <w:r w:rsidR="00096C9C">
        <w:rPr>
          <w:rFonts w:ascii="Verdana" w:hAnsi="Verdana"/>
          <w:sz w:val="24"/>
          <w:szCs w:val="24"/>
          <w:lang w:val="en-GB"/>
        </w:rPr>
        <w:t xml:space="preserve">been addressed, and </w:t>
      </w:r>
      <w:r w:rsidR="00096C9C" w:rsidRPr="00FC23E0">
        <w:rPr>
          <w:rFonts w:ascii="Verdana" w:hAnsi="Verdana"/>
          <w:b/>
          <w:bCs/>
          <w:sz w:val="24"/>
          <w:szCs w:val="24"/>
          <w:lang w:val="en-GB"/>
        </w:rPr>
        <w:t xml:space="preserve">that </w:t>
      </w:r>
      <w:r w:rsidR="00AA0825" w:rsidRPr="00FC23E0">
        <w:rPr>
          <w:rFonts w:ascii="Verdana" w:hAnsi="Verdana"/>
          <w:b/>
          <w:bCs/>
          <w:sz w:val="24"/>
          <w:szCs w:val="24"/>
          <w:lang w:val="en-GB"/>
        </w:rPr>
        <w:t>it was possible to assess the impact of Budget 2024 on disabled people specifically</w:t>
      </w:r>
      <w:r w:rsidR="00AA0825">
        <w:rPr>
          <w:rFonts w:ascii="Verdana" w:hAnsi="Verdana"/>
          <w:sz w:val="24"/>
          <w:szCs w:val="24"/>
          <w:lang w:val="en-GB"/>
        </w:rPr>
        <w:t xml:space="preserve">, for the first time. It is concerning however that the ESRI’s Budget analysis showed that </w:t>
      </w:r>
      <w:r w:rsidR="00D53793">
        <w:rPr>
          <w:rFonts w:ascii="Verdana" w:hAnsi="Verdana"/>
          <w:sz w:val="24"/>
          <w:szCs w:val="24"/>
          <w:lang w:val="en-GB"/>
        </w:rPr>
        <w:t>gains for people with disabilities in</w:t>
      </w:r>
      <w:r w:rsidR="00AA0825">
        <w:rPr>
          <w:rFonts w:ascii="Verdana" w:hAnsi="Verdana"/>
          <w:sz w:val="24"/>
          <w:szCs w:val="24"/>
          <w:lang w:val="en-GB"/>
        </w:rPr>
        <w:t xml:space="preserve"> Budget 2024 </w:t>
      </w:r>
      <w:r w:rsidR="00D53793">
        <w:rPr>
          <w:rFonts w:ascii="Verdana" w:hAnsi="Verdana"/>
          <w:sz w:val="24"/>
          <w:szCs w:val="24"/>
          <w:lang w:val="en-GB"/>
        </w:rPr>
        <w:t>depended entirely on temporary measures</w:t>
      </w:r>
      <w:r w:rsidR="00B41C51">
        <w:rPr>
          <w:rFonts w:ascii="Verdana" w:hAnsi="Verdana"/>
          <w:sz w:val="24"/>
          <w:szCs w:val="24"/>
          <w:lang w:val="en-GB"/>
        </w:rPr>
        <w:t>.</w:t>
      </w:r>
      <w:r w:rsidR="008F5C14" w:rsidRPr="009B6B76">
        <w:rPr>
          <w:rFonts w:ascii="Verdana" w:hAnsi="Verdana"/>
          <w:sz w:val="24"/>
          <w:szCs w:val="24"/>
          <w:lang w:val="en-GB"/>
        </w:rPr>
        <w:t xml:space="preserve"> </w:t>
      </w:r>
      <w:r w:rsidR="003A1930">
        <w:rPr>
          <w:rFonts w:ascii="Verdana" w:hAnsi="Verdana"/>
          <w:sz w:val="24"/>
          <w:szCs w:val="24"/>
          <w:lang w:val="en-GB"/>
        </w:rPr>
        <w:t xml:space="preserve">Given the significantly higher levels of deprivation of people with disabilities, </w:t>
      </w:r>
      <w:r w:rsidR="003A1930" w:rsidRPr="00FC23E0">
        <w:rPr>
          <w:rFonts w:ascii="Verdana" w:hAnsi="Verdana"/>
          <w:b/>
          <w:bCs/>
          <w:sz w:val="24"/>
          <w:szCs w:val="24"/>
          <w:lang w:val="en-GB"/>
        </w:rPr>
        <w:t xml:space="preserve">it is imperative that </w:t>
      </w:r>
      <w:r w:rsidR="00FC1A67" w:rsidRPr="00FC23E0">
        <w:rPr>
          <w:rFonts w:ascii="Verdana" w:hAnsi="Verdana"/>
          <w:b/>
          <w:bCs/>
          <w:sz w:val="24"/>
          <w:szCs w:val="24"/>
          <w:lang w:val="en-GB"/>
        </w:rPr>
        <w:t>effective and rigorous</w:t>
      </w:r>
      <w:r w:rsidR="003A1930" w:rsidRPr="00FC23E0">
        <w:rPr>
          <w:rFonts w:ascii="Verdana" w:hAnsi="Verdana"/>
          <w:b/>
          <w:bCs/>
          <w:sz w:val="24"/>
          <w:szCs w:val="24"/>
          <w:lang w:val="en-GB"/>
        </w:rPr>
        <w:t xml:space="preserve"> disability proofing is undertaken</w:t>
      </w:r>
      <w:r w:rsidR="00E237ED" w:rsidRPr="00FC23E0">
        <w:rPr>
          <w:rFonts w:ascii="Verdana" w:hAnsi="Verdana"/>
          <w:b/>
          <w:bCs/>
          <w:sz w:val="24"/>
          <w:szCs w:val="24"/>
          <w:lang w:val="en-GB"/>
        </w:rPr>
        <w:t xml:space="preserve"> of Budget 2025 proposals</w:t>
      </w:r>
      <w:r w:rsidR="003A1930" w:rsidRPr="00FC23E0">
        <w:rPr>
          <w:rFonts w:ascii="Verdana" w:hAnsi="Verdana"/>
          <w:b/>
          <w:bCs/>
          <w:sz w:val="24"/>
          <w:szCs w:val="24"/>
          <w:lang w:val="en-GB"/>
        </w:rPr>
        <w:t xml:space="preserve">, and a </w:t>
      </w:r>
      <w:r w:rsidR="00FC1A67" w:rsidRPr="00FC23E0">
        <w:rPr>
          <w:rFonts w:ascii="Verdana" w:hAnsi="Verdana"/>
          <w:b/>
          <w:bCs/>
          <w:sz w:val="24"/>
          <w:szCs w:val="24"/>
          <w:lang w:val="en-GB"/>
        </w:rPr>
        <w:t xml:space="preserve">strong positive impact on disability poverty </w:t>
      </w:r>
      <w:r w:rsidR="009202A9" w:rsidRPr="00FC23E0">
        <w:rPr>
          <w:rFonts w:ascii="Verdana" w:hAnsi="Verdana"/>
          <w:b/>
          <w:bCs/>
          <w:sz w:val="24"/>
          <w:szCs w:val="24"/>
          <w:lang w:val="en-GB"/>
        </w:rPr>
        <w:t>must</w:t>
      </w:r>
      <w:r w:rsidR="00FC1A67" w:rsidRPr="00FC23E0">
        <w:rPr>
          <w:rFonts w:ascii="Verdana" w:hAnsi="Verdana"/>
          <w:b/>
          <w:bCs/>
          <w:sz w:val="24"/>
          <w:szCs w:val="24"/>
          <w:lang w:val="en-GB"/>
        </w:rPr>
        <w:t xml:space="preserve"> be a key outcome of </w:t>
      </w:r>
      <w:r w:rsidR="00E237ED" w:rsidRPr="00FC23E0">
        <w:rPr>
          <w:rFonts w:ascii="Verdana" w:hAnsi="Verdana"/>
          <w:b/>
          <w:bCs/>
          <w:sz w:val="24"/>
          <w:szCs w:val="24"/>
          <w:lang w:val="en-GB"/>
        </w:rPr>
        <w:t>this budget</w:t>
      </w:r>
      <w:r w:rsidR="00FC1A67" w:rsidRPr="00FC23E0">
        <w:rPr>
          <w:rFonts w:ascii="Verdana" w:hAnsi="Verdana"/>
          <w:b/>
          <w:bCs/>
          <w:sz w:val="24"/>
          <w:szCs w:val="24"/>
          <w:lang w:val="en-GB"/>
        </w:rPr>
        <w:t xml:space="preserve">. </w:t>
      </w:r>
    </w:p>
    <w:p w14:paraId="697E3534" w14:textId="578EC14A" w:rsidR="004E3269" w:rsidRPr="00872D91" w:rsidRDefault="004E3269" w:rsidP="00F5696B">
      <w:pPr>
        <w:pStyle w:val="Heading1"/>
        <w:rPr>
          <w:sz w:val="24"/>
          <w:szCs w:val="24"/>
        </w:rPr>
      </w:pPr>
      <w:bookmarkStart w:id="20" w:name="_Toc171069212"/>
      <w:r w:rsidRPr="00872D91">
        <w:rPr>
          <w:sz w:val="24"/>
          <w:szCs w:val="24"/>
        </w:rPr>
        <w:t xml:space="preserve">Disabled People’s Dependence on </w:t>
      </w:r>
      <w:r w:rsidR="00495572" w:rsidRPr="00872D91">
        <w:rPr>
          <w:sz w:val="24"/>
          <w:szCs w:val="24"/>
        </w:rPr>
        <w:t>Additional</w:t>
      </w:r>
      <w:r w:rsidRPr="00872D91">
        <w:rPr>
          <w:sz w:val="24"/>
          <w:szCs w:val="24"/>
        </w:rPr>
        <w:t xml:space="preserve"> Needs Payments</w:t>
      </w:r>
      <w:bookmarkEnd w:id="20"/>
      <w:r w:rsidRPr="00872D91">
        <w:rPr>
          <w:sz w:val="24"/>
          <w:szCs w:val="24"/>
        </w:rPr>
        <w:t xml:space="preserve"> </w:t>
      </w:r>
    </w:p>
    <w:p w14:paraId="2A959A2C" w14:textId="77777777" w:rsidR="00F56B47" w:rsidRPr="00872D91" w:rsidRDefault="004E3269" w:rsidP="004E3269">
      <w:pPr>
        <w:rPr>
          <w:rFonts w:ascii="Verdana" w:hAnsi="Verdana"/>
          <w:sz w:val="24"/>
          <w:szCs w:val="24"/>
          <w:lang w:val="en-GB"/>
        </w:rPr>
      </w:pPr>
      <w:r w:rsidRPr="00872D91">
        <w:rPr>
          <w:rFonts w:ascii="Verdana" w:hAnsi="Verdana"/>
          <w:sz w:val="24"/>
          <w:szCs w:val="24"/>
          <w:lang w:val="en-GB"/>
        </w:rPr>
        <w:t xml:space="preserve">The Department’s own statistics continue to further evidence </w:t>
      </w:r>
      <w:r w:rsidR="00495572" w:rsidRPr="00872D91">
        <w:rPr>
          <w:rFonts w:ascii="Verdana" w:hAnsi="Verdana"/>
          <w:sz w:val="24"/>
          <w:szCs w:val="24"/>
          <w:lang w:val="en-GB"/>
        </w:rPr>
        <w:t>the inadequacy of core payments</w:t>
      </w:r>
      <w:r w:rsidRPr="00872D91">
        <w:rPr>
          <w:rFonts w:ascii="Verdana" w:hAnsi="Verdana"/>
          <w:sz w:val="24"/>
          <w:szCs w:val="24"/>
          <w:lang w:val="en-GB"/>
        </w:rPr>
        <w:t xml:space="preserve">. If we see the </w:t>
      </w:r>
      <w:r w:rsidR="00912FBC" w:rsidRPr="00872D91">
        <w:rPr>
          <w:rFonts w:ascii="Verdana" w:hAnsi="Verdana"/>
          <w:sz w:val="24"/>
          <w:szCs w:val="24"/>
          <w:lang w:val="en-GB"/>
        </w:rPr>
        <w:t>Additional</w:t>
      </w:r>
      <w:r w:rsidRPr="00872D91">
        <w:rPr>
          <w:rFonts w:ascii="Verdana" w:hAnsi="Verdana"/>
          <w:sz w:val="24"/>
          <w:szCs w:val="24"/>
          <w:lang w:val="en-GB"/>
        </w:rPr>
        <w:t xml:space="preserve"> Needs Payments as an indication of poverty and financial distress, the uptake figures indicate that people with disabilities live with great economic vulnerability. </w:t>
      </w:r>
    </w:p>
    <w:p w14:paraId="58F61E01" w14:textId="73E95CD1" w:rsidR="007C3EC5" w:rsidRDefault="004E3269" w:rsidP="004E3269">
      <w:pPr>
        <w:rPr>
          <w:rFonts w:ascii="Verdana" w:hAnsi="Verdana"/>
          <w:sz w:val="24"/>
          <w:szCs w:val="24"/>
        </w:rPr>
      </w:pPr>
      <w:r w:rsidRPr="00872D91">
        <w:rPr>
          <w:rFonts w:ascii="Verdana" w:hAnsi="Verdana"/>
          <w:sz w:val="24"/>
          <w:szCs w:val="24"/>
          <w:lang w:val="en-GB"/>
        </w:rPr>
        <w:t xml:space="preserve">Looking at the </w:t>
      </w:r>
      <w:r w:rsidR="007C3EC5" w:rsidRPr="00872D91">
        <w:rPr>
          <w:rFonts w:ascii="Verdana" w:hAnsi="Verdana"/>
          <w:sz w:val="24"/>
          <w:szCs w:val="24"/>
          <w:lang w:val="en-GB"/>
        </w:rPr>
        <w:t>ANP</w:t>
      </w:r>
      <w:r w:rsidRPr="00872D91">
        <w:rPr>
          <w:rFonts w:ascii="Verdana" w:hAnsi="Verdana"/>
          <w:sz w:val="24"/>
          <w:szCs w:val="24"/>
          <w:lang w:val="en-GB"/>
        </w:rPr>
        <w:t xml:space="preserve"> breakdown by category</w:t>
      </w:r>
      <w:r w:rsidR="00872D91">
        <w:rPr>
          <w:rFonts w:ascii="Verdana" w:hAnsi="Verdana"/>
          <w:sz w:val="24"/>
          <w:szCs w:val="24"/>
          <w:lang w:val="en-GB"/>
        </w:rPr>
        <w:t>, the extent to which people on disability payments rely on them to supplement an inadequate income is clear</w:t>
      </w:r>
      <w:r w:rsidR="0087661D">
        <w:rPr>
          <w:rFonts w:ascii="Verdana" w:hAnsi="Verdana"/>
          <w:sz w:val="24"/>
          <w:szCs w:val="24"/>
          <w:lang w:val="en-GB"/>
        </w:rPr>
        <w:t xml:space="preserve"> and consistent over recent years.</w:t>
      </w:r>
      <w:r w:rsidRPr="00872D91">
        <w:rPr>
          <w:rFonts w:ascii="Verdana" w:hAnsi="Verdana"/>
          <w:sz w:val="24"/>
          <w:szCs w:val="24"/>
          <w:lang w:val="en-GB"/>
        </w:rPr>
        <w:t xml:space="preserve"> </w:t>
      </w:r>
      <w:r w:rsidRPr="00872D91">
        <w:rPr>
          <w:rFonts w:ascii="Verdana" w:hAnsi="Verdana"/>
          <w:sz w:val="24"/>
          <w:szCs w:val="24"/>
        </w:rPr>
        <w:t>30% of the payments made in 2020, 3</w:t>
      </w:r>
      <w:r w:rsidR="00E05DFB" w:rsidRPr="00872D91">
        <w:rPr>
          <w:rFonts w:ascii="Verdana" w:hAnsi="Verdana"/>
          <w:sz w:val="24"/>
          <w:szCs w:val="24"/>
        </w:rPr>
        <w:t>1</w:t>
      </w:r>
      <w:r w:rsidRPr="00872D91">
        <w:rPr>
          <w:rFonts w:ascii="Verdana" w:hAnsi="Verdana"/>
          <w:sz w:val="24"/>
          <w:szCs w:val="24"/>
        </w:rPr>
        <w:t>% of those made in 2021, and</w:t>
      </w:r>
      <w:r w:rsidR="00B0188C" w:rsidRPr="00872D91">
        <w:rPr>
          <w:rFonts w:ascii="Verdana" w:hAnsi="Verdana"/>
          <w:sz w:val="24"/>
          <w:szCs w:val="24"/>
        </w:rPr>
        <w:t xml:space="preserve"> just under</w:t>
      </w:r>
      <w:r w:rsidRPr="00872D91">
        <w:rPr>
          <w:rFonts w:ascii="Verdana" w:hAnsi="Verdana"/>
          <w:sz w:val="24"/>
          <w:szCs w:val="24"/>
        </w:rPr>
        <w:t xml:space="preserve"> </w:t>
      </w:r>
      <w:r w:rsidR="00B0188C" w:rsidRPr="00872D91">
        <w:rPr>
          <w:rFonts w:ascii="Verdana" w:hAnsi="Verdana"/>
          <w:sz w:val="24"/>
          <w:szCs w:val="24"/>
        </w:rPr>
        <w:t>30</w:t>
      </w:r>
      <w:r w:rsidRPr="00872D91">
        <w:rPr>
          <w:rFonts w:ascii="Verdana" w:hAnsi="Verdana"/>
          <w:sz w:val="24"/>
          <w:szCs w:val="24"/>
        </w:rPr>
        <w:t xml:space="preserve">% of payments made </w:t>
      </w:r>
      <w:r w:rsidR="00B0188C" w:rsidRPr="00872D91">
        <w:rPr>
          <w:rFonts w:ascii="Verdana" w:hAnsi="Verdana"/>
          <w:sz w:val="24"/>
          <w:szCs w:val="24"/>
        </w:rPr>
        <w:t>in 2022, 2023 and so far in 2024</w:t>
      </w:r>
      <w:r w:rsidR="00F56B47" w:rsidRPr="00872D91">
        <w:rPr>
          <w:rFonts w:ascii="Verdana" w:hAnsi="Verdana"/>
          <w:sz w:val="24"/>
          <w:szCs w:val="24"/>
        </w:rPr>
        <w:t>,</w:t>
      </w:r>
      <w:r w:rsidRPr="00872D91">
        <w:rPr>
          <w:rFonts w:ascii="Verdana" w:hAnsi="Verdana"/>
          <w:sz w:val="24"/>
          <w:szCs w:val="24"/>
        </w:rPr>
        <w:t xml:space="preserve"> went to recipients of disability-related social protection payments</w:t>
      </w:r>
      <w:r w:rsidR="0087661D">
        <w:rPr>
          <w:rFonts w:ascii="Verdana" w:hAnsi="Verdana"/>
          <w:sz w:val="24"/>
          <w:szCs w:val="24"/>
        </w:rPr>
        <w:t>.</w:t>
      </w:r>
      <w:r w:rsidR="00B0188C" w:rsidRPr="00872D91">
        <w:rPr>
          <w:rStyle w:val="FootnoteReference"/>
          <w:rFonts w:ascii="Verdana" w:hAnsi="Verdana"/>
          <w:sz w:val="24"/>
          <w:szCs w:val="24"/>
        </w:rPr>
        <w:footnoteReference w:id="48"/>
      </w:r>
      <w:r w:rsidRPr="00AE0970">
        <w:rPr>
          <w:rFonts w:ascii="Verdana" w:hAnsi="Verdana"/>
          <w:sz w:val="24"/>
          <w:szCs w:val="24"/>
        </w:rPr>
        <w:t xml:space="preserve"> </w:t>
      </w:r>
    </w:p>
    <w:p w14:paraId="1D0FB9BD" w14:textId="4C33F128" w:rsidR="00932D6F" w:rsidRPr="00932D6F" w:rsidRDefault="004E3269" w:rsidP="00647C56">
      <w:pPr>
        <w:rPr>
          <w:rFonts w:ascii="Verdana" w:hAnsi="Verdana"/>
          <w:sz w:val="24"/>
          <w:szCs w:val="24"/>
        </w:rPr>
      </w:pPr>
      <w:r w:rsidRPr="00AE0970">
        <w:rPr>
          <w:rFonts w:ascii="Verdana" w:hAnsi="Verdana"/>
          <w:sz w:val="24"/>
          <w:szCs w:val="24"/>
        </w:rPr>
        <w:t>Th</w:t>
      </w:r>
      <w:r>
        <w:rPr>
          <w:rFonts w:ascii="Verdana" w:hAnsi="Verdana"/>
          <w:sz w:val="24"/>
          <w:szCs w:val="24"/>
        </w:rPr>
        <w:t>e level of disability related drawdown from this fund</w:t>
      </w:r>
      <w:r w:rsidRPr="00AE0970">
        <w:rPr>
          <w:rFonts w:ascii="Verdana" w:hAnsi="Verdana"/>
          <w:sz w:val="24"/>
          <w:szCs w:val="24"/>
        </w:rPr>
        <w:t xml:space="preserve"> again indicates that existing social welfare provision is insufficient</w:t>
      </w:r>
      <w:r>
        <w:rPr>
          <w:rFonts w:ascii="Verdana" w:hAnsi="Verdana"/>
          <w:sz w:val="24"/>
          <w:szCs w:val="24"/>
        </w:rPr>
        <w:t xml:space="preserve"> to meet the basic needs of the disabled individuals who rely on these payments to live</w:t>
      </w:r>
      <w:r w:rsidRPr="00AE0970">
        <w:rPr>
          <w:rFonts w:ascii="Verdana" w:hAnsi="Verdana"/>
          <w:sz w:val="24"/>
          <w:szCs w:val="24"/>
        </w:rPr>
        <w:t>.</w:t>
      </w:r>
      <w:r>
        <w:rPr>
          <w:rFonts w:ascii="Verdana" w:hAnsi="Verdana"/>
          <w:sz w:val="24"/>
          <w:szCs w:val="24"/>
        </w:rPr>
        <w:t xml:space="preserve"> </w:t>
      </w:r>
    </w:p>
    <w:p w14:paraId="26DFEBA8" w14:textId="2016C7AF" w:rsidR="00FD58EE" w:rsidRPr="00F5696B" w:rsidRDefault="0062527E" w:rsidP="00F5696B">
      <w:pPr>
        <w:pStyle w:val="Heading1"/>
        <w:rPr>
          <w:sz w:val="24"/>
          <w:szCs w:val="24"/>
          <w:lang w:val="en-GB"/>
        </w:rPr>
      </w:pPr>
      <w:bookmarkStart w:id="21" w:name="_Toc171069213"/>
      <w:r w:rsidRPr="00F5696B">
        <w:rPr>
          <w:sz w:val="24"/>
          <w:szCs w:val="24"/>
          <w:lang w:val="en-GB"/>
        </w:rPr>
        <w:t xml:space="preserve">Budget </w:t>
      </w:r>
      <w:r w:rsidR="00634736" w:rsidRPr="00F5696B">
        <w:rPr>
          <w:sz w:val="24"/>
          <w:szCs w:val="24"/>
          <w:lang w:val="en-GB"/>
        </w:rPr>
        <w:t>20</w:t>
      </w:r>
      <w:r w:rsidRPr="00F5696B">
        <w:rPr>
          <w:sz w:val="24"/>
          <w:szCs w:val="24"/>
          <w:lang w:val="en-GB"/>
        </w:rPr>
        <w:t>2</w:t>
      </w:r>
      <w:r w:rsidR="000C40D2" w:rsidRPr="00F5696B">
        <w:rPr>
          <w:sz w:val="24"/>
          <w:szCs w:val="24"/>
          <w:lang w:val="en-GB"/>
        </w:rPr>
        <w:t>5</w:t>
      </w:r>
      <w:r w:rsidR="00CB1451" w:rsidRPr="00F5696B">
        <w:rPr>
          <w:sz w:val="24"/>
          <w:szCs w:val="24"/>
          <w:lang w:val="en-GB"/>
        </w:rPr>
        <w:t xml:space="preserve">: </w:t>
      </w:r>
      <w:r w:rsidR="00EA65C2" w:rsidRPr="00F5696B">
        <w:rPr>
          <w:sz w:val="24"/>
          <w:szCs w:val="24"/>
          <w:lang w:val="en-GB"/>
        </w:rPr>
        <w:t>Time to Prioritise Disabled People</w:t>
      </w:r>
      <w:bookmarkEnd w:id="21"/>
    </w:p>
    <w:p w14:paraId="646A154D" w14:textId="3C0448CA" w:rsidR="00F4454B" w:rsidRDefault="000C40D2" w:rsidP="008F5EB7">
      <w:pPr>
        <w:rPr>
          <w:rFonts w:ascii="Verdana" w:hAnsi="Verdana"/>
          <w:sz w:val="24"/>
          <w:szCs w:val="24"/>
        </w:rPr>
      </w:pPr>
      <w:r>
        <w:rPr>
          <w:rFonts w:ascii="Verdana" w:hAnsi="Verdana"/>
          <w:sz w:val="24"/>
          <w:szCs w:val="24"/>
        </w:rPr>
        <w:t>This is t</w:t>
      </w:r>
      <w:r w:rsidRPr="00C80B2E">
        <w:rPr>
          <w:rFonts w:ascii="Verdana" w:hAnsi="Verdana"/>
          <w:sz w:val="24"/>
          <w:szCs w:val="24"/>
        </w:rPr>
        <w:t>he last</w:t>
      </w:r>
      <w:r w:rsidR="00FD58EE" w:rsidRPr="00C80B2E">
        <w:rPr>
          <w:rFonts w:ascii="Verdana" w:hAnsi="Verdana"/>
          <w:sz w:val="24"/>
          <w:szCs w:val="24"/>
        </w:rPr>
        <w:t xml:space="preserve"> Budget </w:t>
      </w:r>
      <w:r w:rsidR="005816A2" w:rsidRPr="00C80B2E">
        <w:rPr>
          <w:rFonts w:ascii="Verdana" w:hAnsi="Verdana"/>
          <w:sz w:val="24"/>
          <w:szCs w:val="24"/>
        </w:rPr>
        <w:t>of this government</w:t>
      </w:r>
      <w:r w:rsidR="005E2F5F">
        <w:rPr>
          <w:rFonts w:ascii="Verdana" w:hAnsi="Verdana"/>
          <w:sz w:val="24"/>
          <w:szCs w:val="24"/>
        </w:rPr>
        <w:t>, and the last chance</w:t>
      </w:r>
      <w:r w:rsidR="00F4454B" w:rsidRPr="00C80B2E">
        <w:rPr>
          <w:rFonts w:ascii="Verdana" w:hAnsi="Verdana"/>
          <w:sz w:val="24"/>
          <w:szCs w:val="24"/>
        </w:rPr>
        <w:t xml:space="preserve"> to</w:t>
      </w:r>
      <w:r w:rsidR="00FD58EE" w:rsidRPr="00C80B2E">
        <w:rPr>
          <w:rFonts w:ascii="Verdana" w:hAnsi="Verdana"/>
          <w:sz w:val="24"/>
          <w:szCs w:val="24"/>
        </w:rPr>
        <w:t xml:space="preserve"> deliver</w:t>
      </w:r>
      <w:r w:rsidR="00FD58EE" w:rsidRPr="008F5EB7">
        <w:rPr>
          <w:rFonts w:ascii="Verdana" w:hAnsi="Verdana"/>
          <w:sz w:val="24"/>
          <w:szCs w:val="24"/>
        </w:rPr>
        <w:t xml:space="preserve"> on its significant Programme for Government commitments to disabled </w:t>
      </w:r>
      <w:r w:rsidR="00FD58EE" w:rsidRPr="008F5EB7">
        <w:rPr>
          <w:rFonts w:ascii="Verdana" w:hAnsi="Verdana"/>
          <w:sz w:val="24"/>
          <w:szCs w:val="24"/>
        </w:rPr>
        <w:lastRenderedPageBreak/>
        <w:t>people and their families</w:t>
      </w:r>
      <w:r w:rsidR="009B5D9C">
        <w:rPr>
          <w:rFonts w:ascii="Verdana" w:hAnsi="Verdana"/>
          <w:sz w:val="24"/>
          <w:szCs w:val="24"/>
        </w:rPr>
        <w:t>.</w:t>
      </w:r>
      <w:r w:rsidR="00F4454B">
        <w:rPr>
          <w:rFonts w:ascii="Verdana" w:hAnsi="Verdana"/>
          <w:sz w:val="24"/>
          <w:szCs w:val="24"/>
        </w:rPr>
        <w:t xml:space="preserve"> </w:t>
      </w:r>
      <w:r w:rsidR="00ED4D70">
        <w:rPr>
          <w:rFonts w:ascii="Verdana" w:hAnsi="Verdana"/>
          <w:sz w:val="24"/>
          <w:szCs w:val="24"/>
        </w:rPr>
        <w:t>T</w:t>
      </w:r>
      <w:r w:rsidR="009B5D9C">
        <w:rPr>
          <w:rFonts w:ascii="Verdana" w:hAnsi="Verdana"/>
          <w:sz w:val="24"/>
          <w:szCs w:val="24"/>
        </w:rPr>
        <w:t>o</w:t>
      </w:r>
      <w:r w:rsidR="00F4454B">
        <w:rPr>
          <w:rFonts w:ascii="Verdana" w:hAnsi="Verdana"/>
          <w:sz w:val="24"/>
          <w:szCs w:val="24"/>
        </w:rPr>
        <w:t xml:space="preserve"> </w:t>
      </w:r>
      <w:r w:rsidR="0040633C">
        <w:rPr>
          <w:rFonts w:ascii="Verdana" w:hAnsi="Verdana"/>
          <w:sz w:val="24"/>
          <w:szCs w:val="24"/>
        </w:rPr>
        <w:t>deliver on the strong public and political mandate to tackle</w:t>
      </w:r>
      <w:r w:rsidR="00E056F4">
        <w:rPr>
          <w:rFonts w:ascii="Verdana" w:hAnsi="Verdana"/>
          <w:sz w:val="24"/>
          <w:szCs w:val="24"/>
        </w:rPr>
        <w:t xml:space="preserve"> disability deprivation</w:t>
      </w:r>
      <w:r w:rsidR="00861D49">
        <w:rPr>
          <w:rFonts w:ascii="Verdana" w:hAnsi="Verdana"/>
          <w:sz w:val="24"/>
          <w:szCs w:val="24"/>
        </w:rPr>
        <w:t>,</w:t>
      </w:r>
      <w:r w:rsidR="009B5D9C">
        <w:rPr>
          <w:rFonts w:ascii="Verdana" w:hAnsi="Verdana"/>
          <w:sz w:val="24"/>
          <w:szCs w:val="24"/>
        </w:rPr>
        <w:t xml:space="preserve"> action must be taken to address the shockingly high poverty levels that people unable to work due to disability live with</w:t>
      </w:r>
      <w:r w:rsidR="00FD58EE" w:rsidRPr="008F5EB7">
        <w:rPr>
          <w:rFonts w:ascii="Verdana" w:hAnsi="Verdana"/>
          <w:sz w:val="24"/>
          <w:szCs w:val="24"/>
        </w:rPr>
        <w:t xml:space="preserve">. </w:t>
      </w:r>
    </w:p>
    <w:p w14:paraId="6A4AA788" w14:textId="2E83D292" w:rsidR="00AE2E31" w:rsidRPr="00F83487" w:rsidRDefault="008F5EB7" w:rsidP="00525E44">
      <w:pPr>
        <w:rPr>
          <w:rFonts w:ascii="Verdana" w:hAnsi="Verdana"/>
          <w:sz w:val="24"/>
          <w:szCs w:val="24"/>
          <w:lang w:val="en-GB"/>
        </w:rPr>
      </w:pPr>
      <w:r w:rsidRPr="00F83487">
        <w:rPr>
          <w:rFonts w:ascii="Verdana" w:hAnsi="Verdana"/>
          <w:sz w:val="24"/>
          <w:szCs w:val="24"/>
          <w:lang w:val="en-GB"/>
        </w:rPr>
        <w:t xml:space="preserve">Disabled people </w:t>
      </w:r>
      <w:r w:rsidR="007D0253" w:rsidRPr="00F83487">
        <w:rPr>
          <w:rFonts w:ascii="Verdana" w:hAnsi="Verdana"/>
          <w:sz w:val="24"/>
          <w:szCs w:val="24"/>
          <w:lang w:val="en-GB"/>
        </w:rPr>
        <w:t>are disproportionately at risk of poverty, and one in two people unable to work due to longstanding health condition (disability) live in deprivation.</w:t>
      </w:r>
      <w:r w:rsidR="00BC53B8" w:rsidRPr="00F83487">
        <w:rPr>
          <w:rFonts w:ascii="Verdana" w:hAnsi="Verdana"/>
          <w:sz w:val="24"/>
          <w:szCs w:val="24"/>
          <w:lang w:val="en-GB"/>
        </w:rPr>
        <w:t xml:space="preserve"> The ongoing and </w:t>
      </w:r>
      <w:r w:rsidR="00344813" w:rsidRPr="00F83487">
        <w:rPr>
          <w:rFonts w:ascii="Verdana" w:hAnsi="Verdana"/>
          <w:sz w:val="24"/>
          <w:szCs w:val="24"/>
          <w:lang w:val="en-GB"/>
        </w:rPr>
        <w:t>escalating</w:t>
      </w:r>
      <w:r w:rsidR="00BC53B8" w:rsidRPr="00F83487">
        <w:rPr>
          <w:rFonts w:ascii="Verdana" w:hAnsi="Verdana"/>
          <w:sz w:val="24"/>
          <w:szCs w:val="24"/>
          <w:lang w:val="en-GB"/>
        </w:rPr>
        <w:t xml:space="preserve"> extra Cost of Disability, </w:t>
      </w:r>
      <w:r w:rsidR="00AE2E31" w:rsidRPr="00F83487">
        <w:rPr>
          <w:rFonts w:ascii="Verdana" w:hAnsi="Verdana"/>
          <w:sz w:val="24"/>
          <w:szCs w:val="24"/>
          <w:lang w:val="en-GB"/>
        </w:rPr>
        <w:t>the income inadequacy of our social protection payments</w:t>
      </w:r>
      <w:r w:rsidR="009A63F7" w:rsidRPr="00F83487">
        <w:rPr>
          <w:rFonts w:ascii="Verdana" w:hAnsi="Verdana"/>
          <w:sz w:val="24"/>
          <w:szCs w:val="24"/>
          <w:lang w:val="en-GB"/>
        </w:rPr>
        <w:t>,</w:t>
      </w:r>
      <w:r w:rsidR="00AE2E31" w:rsidRPr="00F83487">
        <w:rPr>
          <w:rFonts w:ascii="Verdana" w:hAnsi="Verdana"/>
          <w:sz w:val="24"/>
          <w:szCs w:val="24"/>
          <w:lang w:val="en-GB"/>
        </w:rPr>
        <w:t xml:space="preserve"> the lack of action to address structural barriers to employment</w:t>
      </w:r>
      <w:r w:rsidR="000467AD" w:rsidRPr="00F83487">
        <w:rPr>
          <w:rFonts w:ascii="Verdana" w:hAnsi="Verdana"/>
          <w:sz w:val="24"/>
          <w:szCs w:val="24"/>
          <w:lang w:val="en-GB"/>
        </w:rPr>
        <w:t>, the tying of secondary benefits to being in receipt of a social protection payment</w:t>
      </w:r>
      <w:r w:rsidR="00AE2E31" w:rsidRPr="00F83487">
        <w:rPr>
          <w:rFonts w:ascii="Verdana" w:hAnsi="Verdana"/>
          <w:sz w:val="24"/>
          <w:szCs w:val="24"/>
          <w:lang w:val="en-GB"/>
        </w:rPr>
        <w:t xml:space="preserve"> </w:t>
      </w:r>
      <w:r w:rsidR="000467AD" w:rsidRPr="00F83487">
        <w:rPr>
          <w:rFonts w:ascii="Verdana" w:hAnsi="Verdana"/>
          <w:sz w:val="24"/>
          <w:szCs w:val="24"/>
          <w:lang w:val="en-GB"/>
        </w:rPr>
        <w:t>and approaches to means-testing</w:t>
      </w:r>
      <w:r w:rsidR="009A63F7" w:rsidRPr="00F83487">
        <w:rPr>
          <w:rFonts w:ascii="Verdana" w:hAnsi="Verdana"/>
          <w:sz w:val="24"/>
          <w:szCs w:val="24"/>
          <w:lang w:val="en-GB"/>
        </w:rPr>
        <w:t xml:space="preserve"> are </w:t>
      </w:r>
      <w:r w:rsidR="00AE2E31" w:rsidRPr="00F83487">
        <w:rPr>
          <w:rFonts w:ascii="Verdana" w:hAnsi="Verdana"/>
          <w:sz w:val="24"/>
          <w:szCs w:val="24"/>
          <w:lang w:val="en-GB"/>
        </w:rPr>
        <w:t xml:space="preserve">all </w:t>
      </w:r>
      <w:r w:rsidR="009A63F7" w:rsidRPr="00F83487">
        <w:rPr>
          <w:rFonts w:ascii="Verdana" w:hAnsi="Verdana"/>
          <w:sz w:val="24"/>
          <w:szCs w:val="24"/>
          <w:lang w:val="en-GB"/>
        </w:rPr>
        <w:t>pushing people</w:t>
      </w:r>
      <w:r w:rsidR="00A66463" w:rsidRPr="00F83487">
        <w:rPr>
          <w:rFonts w:ascii="Verdana" w:hAnsi="Verdana"/>
          <w:sz w:val="24"/>
          <w:szCs w:val="24"/>
          <w:lang w:val="en-GB"/>
        </w:rPr>
        <w:t xml:space="preserve"> with disabilities</w:t>
      </w:r>
      <w:r w:rsidR="009A63F7" w:rsidRPr="00F83487">
        <w:rPr>
          <w:rFonts w:ascii="Verdana" w:hAnsi="Verdana"/>
          <w:sz w:val="24"/>
          <w:szCs w:val="24"/>
          <w:lang w:val="en-GB"/>
        </w:rPr>
        <w:t xml:space="preserve"> further into poverty. </w:t>
      </w:r>
      <w:r w:rsidR="00FA4538" w:rsidRPr="00F83487">
        <w:rPr>
          <w:rFonts w:ascii="Verdana" w:hAnsi="Verdana"/>
          <w:sz w:val="24"/>
          <w:szCs w:val="24"/>
          <w:lang w:val="en-GB"/>
        </w:rPr>
        <w:t>This needs to change</w:t>
      </w:r>
      <w:r w:rsidR="00FF2A65" w:rsidRPr="00F83487">
        <w:rPr>
          <w:rFonts w:ascii="Verdana" w:hAnsi="Verdana"/>
          <w:sz w:val="24"/>
          <w:szCs w:val="24"/>
          <w:lang w:val="en-GB"/>
        </w:rPr>
        <w:t>,</w:t>
      </w:r>
      <w:r w:rsidR="00FA4538" w:rsidRPr="00F83487">
        <w:rPr>
          <w:rFonts w:ascii="Verdana" w:hAnsi="Verdana"/>
          <w:sz w:val="24"/>
          <w:szCs w:val="24"/>
          <w:lang w:val="en-GB"/>
        </w:rPr>
        <w:t xml:space="preserve"> and it can change.</w:t>
      </w:r>
    </w:p>
    <w:p w14:paraId="5B6CAD75" w14:textId="1F18B6AE" w:rsidR="0016140B" w:rsidRPr="00F83487" w:rsidRDefault="00C65107" w:rsidP="00FD58EE">
      <w:pPr>
        <w:rPr>
          <w:rFonts w:ascii="Verdana" w:hAnsi="Verdana"/>
          <w:color w:val="000000" w:themeColor="text1"/>
          <w:sz w:val="24"/>
          <w:szCs w:val="24"/>
        </w:rPr>
      </w:pPr>
      <w:r w:rsidRPr="00F83487">
        <w:rPr>
          <w:rFonts w:ascii="Verdana" w:hAnsi="Verdana"/>
          <w:color w:val="000000" w:themeColor="text1"/>
          <w:sz w:val="24"/>
          <w:szCs w:val="24"/>
        </w:rPr>
        <w:t xml:space="preserve">At the Energy Poverty Stakeholder’s Forum </w:t>
      </w:r>
      <w:r w:rsidR="00526D0B" w:rsidRPr="00F83487">
        <w:rPr>
          <w:rFonts w:ascii="Verdana" w:hAnsi="Verdana"/>
          <w:color w:val="000000" w:themeColor="text1"/>
          <w:sz w:val="24"/>
          <w:szCs w:val="24"/>
        </w:rPr>
        <w:t>last month, Minister of State Ossian Sm</w:t>
      </w:r>
      <w:r w:rsidR="00DC6729" w:rsidRPr="00F83487">
        <w:rPr>
          <w:rFonts w:ascii="Verdana" w:hAnsi="Verdana"/>
          <w:color w:val="000000" w:themeColor="text1"/>
          <w:sz w:val="24"/>
          <w:szCs w:val="24"/>
        </w:rPr>
        <w:t>y</w:t>
      </w:r>
      <w:r w:rsidR="00526D0B" w:rsidRPr="00F83487">
        <w:rPr>
          <w:rFonts w:ascii="Verdana" w:hAnsi="Verdana"/>
          <w:color w:val="000000" w:themeColor="text1"/>
          <w:sz w:val="24"/>
          <w:szCs w:val="24"/>
        </w:rPr>
        <w:t>th said “there is plenty of money”</w:t>
      </w:r>
      <w:r w:rsidR="00FF37A1" w:rsidRPr="00F83487">
        <w:rPr>
          <w:rFonts w:ascii="Verdana" w:hAnsi="Verdana"/>
          <w:color w:val="000000" w:themeColor="text1"/>
          <w:sz w:val="24"/>
          <w:szCs w:val="24"/>
        </w:rPr>
        <w:t xml:space="preserve"> to tackle </w:t>
      </w:r>
      <w:r w:rsidR="00672650" w:rsidRPr="00F83487">
        <w:rPr>
          <w:rFonts w:ascii="Verdana" w:hAnsi="Verdana"/>
          <w:color w:val="000000" w:themeColor="text1"/>
          <w:sz w:val="24"/>
          <w:szCs w:val="24"/>
        </w:rPr>
        <w:t>issues like poverty</w:t>
      </w:r>
      <w:r w:rsidR="00526D0B" w:rsidRPr="00F83487">
        <w:rPr>
          <w:rFonts w:ascii="Verdana" w:hAnsi="Verdana"/>
          <w:color w:val="000000" w:themeColor="text1"/>
          <w:sz w:val="24"/>
          <w:szCs w:val="24"/>
        </w:rPr>
        <w:t>.</w:t>
      </w:r>
      <w:r w:rsidR="00FD58EE" w:rsidRPr="00F83487">
        <w:rPr>
          <w:rFonts w:ascii="Verdana" w:hAnsi="Verdana"/>
          <w:color w:val="000000" w:themeColor="text1"/>
          <w:sz w:val="24"/>
          <w:szCs w:val="24"/>
        </w:rPr>
        <w:t xml:space="preserve"> </w:t>
      </w:r>
    </w:p>
    <w:p w14:paraId="1947509D" w14:textId="77777777" w:rsidR="00BA55C3" w:rsidRPr="00F83487" w:rsidRDefault="0016140B" w:rsidP="00FD58EE">
      <w:pPr>
        <w:rPr>
          <w:rFonts w:ascii="Verdana" w:hAnsi="Verdana"/>
          <w:color w:val="000000" w:themeColor="text1"/>
          <w:sz w:val="24"/>
          <w:szCs w:val="24"/>
          <w:lang w:val="en-GB"/>
        </w:rPr>
      </w:pPr>
      <w:r w:rsidRPr="00F83487">
        <w:rPr>
          <w:rFonts w:ascii="Verdana" w:hAnsi="Verdana"/>
          <w:color w:val="000000" w:themeColor="text1"/>
          <w:sz w:val="24"/>
          <w:szCs w:val="24"/>
          <w:lang w:val="en-GB"/>
        </w:rPr>
        <w:t xml:space="preserve">There is no excuse to leave disability on the backburner. There is no more time for this government to delay. There is still a chance to make </w:t>
      </w:r>
      <w:r w:rsidR="00FA79F9" w:rsidRPr="00F83487">
        <w:rPr>
          <w:rFonts w:ascii="Verdana" w:hAnsi="Verdana"/>
          <w:color w:val="000000" w:themeColor="text1"/>
          <w:sz w:val="24"/>
          <w:szCs w:val="24"/>
          <w:lang w:val="en-GB"/>
        </w:rPr>
        <w:t xml:space="preserve">a positive </w:t>
      </w:r>
      <w:r w:rsidRPr="00F83487">
        <w:rPr>
          <w:rFonts w:ascii="Verdana" w:hAnsi="Verdana"/>
          <w:color w:val="000000" w:themeColor="text1"/>
          <w:sz w:val="24"/>
          <w:szCs w:val="24"/>
          <w:lang w:val="en-GB"/>
        </w:rPr>
        <w:t>change in the lives of people with disabilities. This is the last chance for the government to make a new choice and prioritise disability in Budget 2025</w:t>
      </w:r>
      <w:r w:rsidR="00FA79F9" w:rsidRPr="00F83487">
        <w:rPr>
          <w:rFonts w:ascii="Verdana" w:hAnsi="Verdana"/>
          <w:color w:val="000000" w:themeColor="text1"/>
          <w:sz w:val="24"/>
          <w:szCs w:val="24"/>
          <w:lang w:val="en-GB"/>
        </w:rPr>
        <w:t>.</w:t>
      </w:r>
      <w:r w:rsidR="00BA55C3" w:rsidRPr="00F83487">
        <w:rPr>
          <w:rFonts w:ascii="Verdana" w:hAnsi="Verdana"/>
          <w:color w:val="000000" w:themeColor="text1"/>
          <w:sz w:val="24"/>
          <w:szCs w:val="24"/>
          <w:lang w:val="en-GB"/>
        </w:rPr>
        <w:t xml:space="preserve"> </w:t>
      </w:r>
    </w:p>
    <w:p w14:paraId="02D4C69F" w14:textId="5F750E85" w:rsidR="00A5752D" w:rsidRDefault="00BA55C3" w:rsidP="00B8658F">
      <w:pPr>
        <w:rPr>
          <w:rFonts w:ascii="Verdana" w:hAnsi="Verdana"/>
          <w:sz w:val="24"/>
          <w:szCs w:val="24"/>
          <w:lang w:val="en-GB"/>
        </w:rPr>
      </w:pPr>
      <w:r w:rsidRPr="00F83487">
        <w:rPr>
          <w:rFonts w:ascii="Verdana" w:hAnsi="Verdana"/>
          <w:color w:val="000000" w:themeColor="text1"/>
          <w:sz w:val="24"/>
          <w:szCs w:val="24"/>
          <w:lang w:val="en-GB"/>
        </w:rPr>
        <w:t>Individuals, families, and communities across the countr</w:t>
      </w:r>
      <w:r w:rsidR="00511056">
        <w:rPr>
          <w:rFonts w:ascii="Verdana" w:hAnsi="Verdana"/>
          <w:color w:val="000000" w:themeColor="text1"/>
          <w:sz w:val="24"/>
          <w:szCs w:val="24"/>
          <w:lang w:val="en-GB"/>
        </w:rPr>
        <w:t>y</w:t>
      </w:r>
      <w:r w:rsidRPr="00F83487">
        <w:rPr>
          <w:rFonts w:ascii="Verdana" w:hAnsi="Verdana"/>
          <w:color w:val="000000" w:themeColor="text1"/>
          <w:sz w:val="24"/>
          <w:szCs w:val="24"/>
          <w:lang w:val="en-GB"/>
        </w:rPr>
        <w:t xml:space="preserve"> believe that things should be </w:t>
      </w:r>
      <w:proofErr w:type="gramStart"/>
      <w:r w:rsidRPr="00F83487">
        <w:rPr>
          <w:rFonts w:ascii="Verdana" w:hAnsi="Verdana"/>
          <w:color w:val="000000" w:themeColor="text1"/>
          <w:sz w:val="24"/>
          <w:szCs w:val="24"/>
          <w:lang w:val="en-GB"/>
        </w:rPr>
        <w:t>different, and</w:t>
      </w:r>
      <w:proofErr w:type="gramEnd"/>
      <w:r w:rsidRPr="00F83487">
        <w:rPr>
          <w:rFonts w:ascii="Verdana" w:hAnsi="Verdana"/>
          <w:color w:val="000000" w:themeColor="text1"/>
          <w:sz w:val="24"/>
          <w:szCs w:val="24"/>
          <w:lang w:val="en-GB"/>
        </w:rPr>
        <w:t xml:space="preserve"> want to see </w:t>
      </w:r>
      <w:r w:rsidR="00174FC1" w:rsidRPr="00F83487">
        <w:rPr>
          <w:rFonts w:ascii="Verdana" w:hAnsi="Verdana"/>
          <w:sz w:val="24"/>
          <w:szCs w:val="24"/>
          <w:lang w:val="en-GB"/>
        </w:rPr>
        <w:t>o</w:t>
      </w:r>
      <w:r w:rsidR="00F90B99" w:rsidRPr="00F83487">
        <w:rPr>
          <w:rFonts w:ascii="Verdana" w:hAnsi="Verdana"/>
          <w:sz w:val="24"/>
          <w:szCs w:val="24"/>
          <w:lang w:val="en-GB"/>
        </w:rPr>
        <w:t xml:space="preserve">ur social protection system provide </w:t>
      </w:r>
      <w:r w:rsidR="00483F8A">
        <w:rPr>
          <w:rFonts w:ascii="Verdana" w:hAnsi="Verdana"/>
          <w:sz w:val="24"/>
          <w:szCs w:val="24"/>
          <w:lang w:val="en-GB"/>
        </w:rPr>
        <w:t xml:space="preserve">people with disabilities with </w:t>
      </w:r>
      <w:r w:rsidR="00F90B99" w:rsidRPr="00F83487">
        <w:rPr>
          <w:rFonts w:ascii="Verdana" w:hAnsi="Verdana"/>
          <w:sz w:val="24"/>
          <w:szCs w:val="24"/>
          <w:lang w:val="en-GB"/>
        </w:rPr>
        <w:t>an income sufficient to live a life of dignity and equality</w:t>
      </w:r>
      <w:r w:rsidR="00174FC1" w:rsidRPr="00F83487">
        <w:rPr>
          <w:rFonts w:ascii="Verdana" w:hAnsi="Verdana"/>
          <w:sz w:val="24"/>
          <w:szCs w:val="24"/>
          <w:lang w:val="en-GB"/>
        </w:rPr>
        <w:t>, and</w:t>
      </w:r>
      <w:r w:rsidR="00483F8A">
        <w:rPr>
          <w:rFonts w:ascii="Verdana" w:hAnsi="Verdana"/>
          <w:sz w:val="24"/>
          <w:szCs w:val="24"/>
          <w:lang w:val="en-GB"/>
        </w:rPr>
        <w:t xml:space="preserve"> that</w:t>
      </w:r>
      <w:r w:rsidR="00174FC1" w:rsidRPr="00F83487">
        <w:rPr>
          <w:rFonts w:ascii="Verdana" w:hAnsi="Verdana"/>
          <w:sz w:val="24"/>
          <w:szCs w:val="24"/>
          <w:lang w:val="en-GB"/>
        </w:rPr>
        <w:t xml:space="preserve"> actively shield</w:t>
      </w:r>
      <w:r w:rsidR="00483F8A">
        <w:rPr>
          <w:rFonts w:ascii="Verdana" w:hAnsi="Verdana"/>
          <w:sz w:val="24"/>
          <w:szCs w:val="24"/>
          <w:lang w:val="en-GB"/>
        </w:rPr>
        <w:t>s</w:t>
      </w:r>
      <w:r w:rsidR="00174FC1" w:rsidRPr="00F83487">
        <w:rPr>
          <w:rFonts w:ascii="Verdana" w:hAnsi="Verdana"/>
          <w:sz w:val="24"/>
          <w:szCs w:val="24"/>
          <w:lang w:val="en-GB"/>
        </w:rPr>
        <w:t xml:space="preserve"> people from poverty and deprivation. </w:t>
      </w:r>
      <w:r w:rsidR="00C80B2E" w:rsidRPr="00F83487">
        <w:rPr>
          <w:rFonts w:ascii="Verdana" w:hAnsi="Verdana"/>
          <w:sz w:val="24"/>
          <w:szCs w:val="24"/>
          <w:lang w:val="en-GB"/>
        </w:rPr>
        <w:t xml:space="preserve"> </w:t>
      </w:r>
    </w:p>
    <w:p w14:paraId="46DA3E24" w14:textId="6BE672F3" w:rsidR="00D61019" w:rsidRPr="00A5752D" w:rsidRDefault="00174FC1" w:rsidP="00B8658F">
      <w:pPr>
        <w:rPr>
          <w:rFonts w:ascii="Verdana" w:hAnsi="Verdana"/>
          <w:sz w:val="24"/>
          <w:szCs w:val="24"/>
          <w:lang w:val="en-GB"/>
        </w:rPr>
      </w:pPr>
      <w:r>
        <w:rPr>
          <w:rFonts w:ascii="Verdana" w:hAnsi="Verdana"/>
          <w:sz w:val="24"/>
          <w:szCs w:val="24"/>
          <w:lang w:val="en-GB"/>
        </w:rPr>
        <w:t xml:space="preserve">Disability poverty is not inevitable. </w:t>
      </w:r>
      <w:r w:rsidR="00694AEC">
        <w:rPr>
          <w:rFonts w:ascii="Verdana" w:hAnsi="Verdana"/>
          <w:sz w:val="24"/>
          <w:szCs w:val="24"/>
          <w:lang w:val="en-GB"/>
        </w:rPr>
        <w:t xml:space="preserve">Now is the time to </w:t>
      </w:r>
      <w:r w:rsidR="00694AEC" w:rsidRPr="00E055BE">
        <w:rPr>
          <w:rFonts w:ascii="Verdana" w:hAnsi="Verdana"/>
          <w:sz w:val="24"/>
          <w:szCs w:val="24"/>
        </w:rPr>
        <w:t>leave a positive legacy</w:t>
      </w:r>
      <w:r w:rsidR="00505074">
        <w:rPr>
          <w:rFonts w:ascii="Verdana" w:hAnsi="Verdana"/>
          <w:sz w:val="24"/>
          <w:szCs w:val="24"/>
        </w:rPr>
        <w:t>,</w:t>
      </w:r>
      <w:r w:rsidR="00694AEC" w:rsidRPr="00E055BE">
        <w:rPr>
          <w:rFonts w:ascii="Verdana" w:hAnsi="Verdana"/>
          <w:sz w:val="24"/>
          <w:szCs w:val="24"/>
        </w:rPr>
        <w:t xml:space="preserve"> </w:t>
      </w:r>
      <w:r w:rsidR="00694AEC">
        <w:rPr>
          <w:rFonts w:ascii="Verdana" w:hAnsi="Verdana"/>
          <w:sz w:val="24"/>
          <w:szCs w:val="24"/>
        </w:rPr>
        <w:t>and finally start to turn the tide on disability poverty.</w:t>
      </w:r>
      <w:r w:rsidR="00694AEC">
        <w:rPr>
          <w:rFonts w:ascii="Verdana" w:hAnsi="Verdana"/>
          <w:sz w:val="24"/>
          <w:szCs w:val="24"/>
          <w:lang w:val="en-GB"/>
        </w:rPr>
        <w:t xml:space="preserve"> </w:t>
      </w:r>
      <w:r w:rsidR="00D61019">
        <w:rPr>
          <w:rFonts w:ascii="Verdana" w:hAnsi="Verdana"/>
          <w:sz w:val="24"/>
          <w:szCs w:val="24"/>
          <w:lang w:val="en-GB"/>
        </w:rPr>
        <w:br w:type="page"/>
      </w:r>
    </w:p>
    <w:p w14:paraId="06E8F0DE" w14:textId="77777777" w:rsidR="001B3C47" w:rsidRDefault="001B3C47" w:rsidP="001B3C47">
      <w:pPr>
        <w:pStyle w:val="p3"/>
        <w:jc w:val="center"/>
        <w:rPr>
          <w:rStyle w:val="s2"/>
          <w:rFonts w:ascii="Verdana" w:hAnsi="Verdana"/>
          <w:sz w:val="26"/>
          <w:szCs w:val="26"/>
        </w:rPr>
      </w:pPr>
      <w:r>
        <w:rPr>
          <w:noProof/>
        </w:rPr>
        <w:lastRenderedPageBreak/>
        <w:drawing>
          <wp:inline distT="0" distB="0" distL="0" distR="0" wp14:anchorId="4A83AD53" wp14:editId="65C822C3">
            <wp:extent cx="970915" cy="621665"/>
            <wp:effectExtent l="0" t="0" r="635" b="6985"/>
            <wp:docPr id="5" name="Picture 5" descr="https://disfed.sharepoint.com/sites/AllDFIStaff/Shared%20Documents/Campaigns/Logos/DFI%20LOGO%20(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6">
                      <a:extLst>
                        <a:ext uri="{28A0092B-C50C-407E-A947-70E740481C1C}">
                          <a14:useLocalDpi xmlns:a14="http://schemas.microsoft.com/office/drawing/2010/main" val="0"/>
                        </a:ext>
                      </a:extLst>
                    </a:blip>
                    <a:stretch>
                      <a:fillRect/>
                    </a:stretch>
                  </pic:blipFill>
                  <pic:spPr>
                    <a:xfrm>
                      <a:off x="0" y="0"/>
                      <a:ext cx="970915" cy="621665"/>
                    </a:xfrm>
                    <a:prstGeom prst="rect">
                      <a:avLst/>
                    </a:prstGeom>
                  </pic:spPr>
                </pic:pic>
              </a:graphicData>
            </a:graphic>
          </wp:inline>
        </w:drawing>
      </w:r>
    </w:p>
    <w:p w14:paraId="316D1C49" w14:textId="77777777" w:rsidR="001B3C47" w:rsidRDefault="001B3C47" w:rsidP="001B3C47">
      <w:pPr>
        <w:pStyle w:val="p3"/>
        <w:jc w:val="center"/>
        <w:rPr>
          <w:rStyle w:val="s2"/>
          <w:rFonts w:ascii="Verdana" w:hAnsi="Verdana"/>
          <w:sz w:val="26"/>
          <w:szCs w:val="26"/>
        </w:rPr>
      </w:pPr>
    </w:p>
    <w:p w14:paraId="41E2F9BB" w14:textId="77777777" w:rsidR="001B3C47" w:rsidRPr="00E677A8" w:rsidRDefault="001B3C47" w:rsidP="001B3C47">
      <w:pPr>
        <w:pStyle w:val="p3"/>
        <w:rPr>
          <w:rFonts w:ascii="Verdana" w:hAnsi="Verdana"/>
          <w:b/>
          <w:bCs/>
          <w:sz w:val="26"/>
          <w:szCs w:val="26"/>
        </w:rPr>
      </w:pPr>
      <w:r w:rsidRPr="00C44365">
        <w:rPr>
          <w:rStyle w:val="s2"/>
          <w:rFonts w:ascii="Verdana" w:hAnsi="Verdana"/>
          <w:sz w:val="26"/>
          <w:szCs w:val="26"/>
        </w:rPr>
        <w:t>DFI is about making Ireland fairer for people with disabilities.</w:t>
      </w:r>
    </w:p>
    <w:p w14:paraId="3B935346" w14:textId="77777777" w:rsidR="001B3C47" w:rsidRPr="00C44365" w:rsidRDefault="001B3C47" w:rsidP="001B3C47">
      <w:pPr>
        <w:pStyle w:val="p2"/>
        <w:jc w:val="center"/>
        <w:rPr>
          <w:rFonts w:ascii="Verdana" w:hAnsi="Verdana"/>
        </w:rPr>
      </w:pPr>
    </w:p>
    <w:p w14:paraId="1DEE8431" w14:textId="77777777" w:rsidR="001B3C47" w:rsidRPr="00C44365" w:rsidRDefault="001B3C47" w:rsidP="001B3C47">
      <w:pPr>
        <w:pStyle w:val="p3"/>
        <w:rPr>
          <w:rFonts w:ascii="Verdana" w:hAnsi="Verdana"/>
          <w:sz w:val="26"/>
          <w:szCs w:val="26"/>
        </w:rPr>
      </w:pPr>
      <w:r w:rsidRPr="00C44365">
        <w:rPr>
          <w:rStyle w:val="s2"/>
          <w:rFonts w:ascii="Verdana" w:hAnsi="Verdana"/>
          <w:sz w:val="26"/>
          <w:szCs w:val="26"/>
        </w:rPr>
        <w:t>We work to create an Ireland where everyone can thrive, where everyone is equally valued.</w:t>
      </w:r>
    </w:p>
    <w:p w14:paraId="62520485" w14:textId="77777777" w:rsidR="001B3C47" w:rsidRPr="00C44365" w:rsidRDefault="001B3C47" w:rsidP="001B3C47">
      <w:pPr>
        <w:pStyle w:val="p2"/>
        <w:rPr>
          <w:rFonts w:ascii="Verdana" w:hAnsi="Verdana"/>
        </w:rPr>
      </w:pPr>
      <w:r w:rsidRPr="00C44365">
        <w:rPr>
          <w:rStyle w:val="s1"/>
          <w:rFonts w:ascii="Verdana" w:hAnsi="Verdana"/>
        </w:rPr>
        <w:t> </w:t>
      </w:r>
    </w:p>
    <w:p w14:paraId="7F844F69" w14:textId="77777777" w:rsidR="001B3C47" w:rsidRDefault="001B3C47" w:rsidP="001B3C47">
      <w:pPr>
        <w:pStyle w:val="p3"/>
        <w:rPr>
          <w:rStyle w:val="s2"/>
          <w:rFonts w:ascii="Verdana" w:hAnsi="Verdana"/>
          <w:sz w:val="26"/>
          <w:szCs w:val="26"/>
        </w:rPr>
      </w:pPr>
      <w:r w:rsidRPr="00C44365">
        <w:rPr>
          <w:rStyle w:val="s2"/>
          <w:rFonts w:ascii="Verdana" w:hAnsi="Verdana"/>
          <w:sz w:val="26"/>
          <w:szCs w:val="26"/>
        </w:rPr>
        <w:t>We do this by supporting people with disabilities and strengthening the disability movement.</w:t>
      </w:r>
    </w:p>
    <w:p w14:paraId="11E75AF8" w14:textId="77777777" w:rsidR="001B3C47" w:rsidRPr="00503231" w:rsidRDefault="001B3C47" w:rsidP="001B3C47">
      <w:pPr>
        <w:pStyle w:val="p3"/>
        <w:rPr>
          <w:rFonts w:ascii="Verdana" w:hAnsi="Verdana"/>
          <w:b/>
          <w:bCs/>
          <w:sz w:val="26"/>
          <w:szCs w:val="26"/>
        </w:rPr>
      </w:pPr>
    </w:p>
    <w:p w14:paraId="73999E41" w14:textId="77777777" w:rsidR="001B3C47" w:rsidRPr="00C44365" w:rsidRDefault="001B3C47" w:rsidP="001B3C47">
      <w:pPr>
        <w:pStyle w:val="p3"/>
        <w:rPr>
          <w:rFonts w:ascii="Verdana" w:hAnsi="Verdana"/>
          <w:sz w:val="26"/>
          <w:szCs w:val="26"/>
        </w:rPr>
      </w:pPr>
      <w:r w:rsidRPr="00C44365">
        <w:rPr>
          <w:rStyle w:val="s2"/>
          <w:rFonts w:ascii="Verdana" w:hAnsi="Verdana"/>
          <w:sz w:val="26"/>
          <w:szCs w:val="26"/>
        </w:rPr>
        <w:t>There are over 120 member organisations in DFI. We also work with a growing number of other organisations that have a significant interest in people with disabilities.</w:t>
      </w:r>
    </w:p>
    <w:p w14:paraId="67590C5C" w14:textId="77777777" w:rsidR="001B3C47" w:rsidRDefault="001B3C47" w:rsidP="001B3C47">
      <w:pPr>
        <w:pStyle w:val="p3"/>
        <w:rPr>
          <w:rStyle w:val="s2"/>
          <w:rFonts w:ascii="Verdana" w:hAnsi="Verdana"/>
          <w:sz w:val="26"/>
          <w:szCs w:val="26"/>
        </w:rPr>
      </w:pPr>
    </w:p>
    <w:p w14:paraId="5E3C233A" w14:textId="77777777" w:rsidR="001B3C47" w:rsidRPr="00C44365" w:rsidRDefault="001B3C47" w:rsidP="001B3C47">
      <w:pPr>
        <w:pStyle w:val="p3"/>
        <w:rPr>
          <w:rFonts w:ascii="Verdana" w:hAnsi="Verdana"/>
          <w:sz w:val="26"/>
          <w:szCs w:val="26"/>
        </w:rPr>
      </w:pPr>
      <w:r w:rsidRPr="00C44365">
        <w:rPr>
          <w:rStyle w:val="s2"/>
          <w:rFonts w:ascii="Verdana" w:hAnsi="Verdana"/>
          <w:sz w:val="26"/>
          <w:szCs w:val="26"/>
        </w:rPr>
        <w:t>DFI provides:</w:t>
      </w:r>
    </w:p>
    <w:p w14:paraId="442040EF" w14:textId="77777777" w:rsidR="001B3C47" w:rsidRPr="00C44365" w:rsidRDefault="001B3C47" w:rsidP="001B3C47">
      <w:pPr>
        <w:pStyle w:val="p2"/>
        <w:rPr>
          <w:rFonts w:ascii="Verdana" w:hAnsi="Verdana"/>
        </w:rPr>
      </w:pPr>
      <w:r w:rsidRPr="00C44365">
        <w:rPr>
          <w:rStyle w:val="s1"/>
          <w:rFonts w:ascii="Verdana" w:hAnsi="Verdana"/>
        </w:rPr>
        <w:t>• Information</w:t>
      </w:r>
    </w:p>
    <w:p w14:paraId="2467FB00" w14:textId="77777777" w:rsidR="001B3C47" w:rsidRPr="00C44365" w:rsidRDefault="001B3C47" w:rsidP="001B3C47">
      <w:pPr>
        <w:pStyle w:val="p2"/>
        <w:rPr>
          <w:rFonts w:ascii="Verdana" w:hAnsi="Verdana"/>
        </w:rPr>
      </w:pPr>
      <w:r w:rsidRPr="00C44365">
        <w:rPr>
          <w:rStyle w:val="s1"/>
          <w:rFonts w:ascii="Verdana" w:hAnsi="Verdana"/>
        </w:rPr>
        <w:t>• Training and Support</w:t>
      </w:r>
    </w:p>
    <w:p w14:paraId="4414F13D" w14:textId="77777777" w:rsidR="001B3C47" w:rsidRPr="00C44365" w:rsidRDefault="001B3C47" w:rsidP="001B3C47">
      <w:pPr>
        <w:pStyle w:val="p2"/>
        <w:rPr>
          <w:rFonts w:ascii="Verdana" w:hAnsi="Verdana"/>
        </w:rPr>
      </w:pPr>
      <w:r w:rsidRPr="00C44365">
        <w:rPr>
          <w:rStyle w:val="s1"/>
          <w:rFonts w:ascii="Verdana" w:hAnsi="Verdana"/>
        </w:rPr>
        <w:t>• Networking</w:t>
      </w:r>
    </w:p>
    <w:p w14:paraId="72777A83" w14:textId="77777777" w:rsidR="001B3C47" w:rsidRPr="00C44365" w:rsidRDefault="001B3C47" w:rsidP="001B3C47">
      <w:pPr>
        <w:pStyle w:val="p2"/>
        <w:rPr>
          <w:rFonts w:ascii="Verdana" w:hAnsi="Verdana"/>
        </w:rPr>
      </w:pPr>
      <w:r w:rsidRPr="00C44365">
        <w:rPr>
          <w:rStyle w:val="s1"/>
          <w:rFonts w:ascii="Verdana" w:hAnsi="Verdana"/>
        </w:rPr>
        <w:t>• Advocacy and Representation</w:t>
      </w:r>
    </w:p>
    <w:p w14:paraId="6CA3ED1F" w14:textId="77777777" w:rsidR="001B3C47" w:rsidRPr="00C44365" w:rsidRDefault="001B3C47" w:rsidP="001B3C47">
      <w:pPr>
        <w:pStyle w:val="p2"/>
        <w:rPr>
          <w:rFonts w:ascii="Verdana" w:hAnsi="Verdana"/>
        </w:rPr>
      </w:pPr>
      <w:r w:rsidRPr="00C44365">
        <w:rPr>
          <w:rStyle w:val="s1"/>
          <w:rFonts w:ascii="Verdana" w:hAnsi="Verdana"/>
        </w:rPr>
        <w:t>• Research, Policy Development and Implementation</w:t>
      </w:r>
    </w:p>
    <w:p w14:paraId="67CCB013" w14:textId="77777777" w:rsidR="001B3C47" w:rsidRPr="00C44365" w:rsidRDefault="001B3C47" w:rsidP="001B3C47">
      <w:pPr>
        <w:pStyle w:val="p2"/>
        <w:rPr>
          <w:rFonts w:ascii="Verdana" w:hAnsi="Verdana"/>
        </w:rPr>
      </w:pPr>
      <w:r w:rsidRPr="00C44365">
        <w:rPr>
          <w:rStyle w:val="s1"/>
          <w:rFonts w:ascii="Verdana" w:hAnsi="Verdana"/>
        </w:rPr>
        <w:t>• Organisation and Management Development</w:t>
      </w:r>
    </w:p>
    <w:p w14:paraId="328BC5CF" w14:textId="77777777" w:rsidR="001B3C47" w:rsidRPr="00C44365" w:rsidRDefault="001B3C47" w:rsidP="001B3C47">
      <w:pPr>
        <w:pStyle w:val="p3"/>
        <w:rPr>
          <w:rStyle w:val="s2"/>
          <w:rFonts w:ascii="Verdana" w:hAnsi="Verdana"/>
          <w:sz w:val="26"/>
          <w:szCs w:val="26"/>
        </w:rPr>
      </w:pPr>
    </w:p>
    <w:p w14:paraId="3730682C" w14:textId="77777777" w:rsidR="001B3C47" w:rsidRPr="00C44365" w:rsidRDefault="001B3C47" w:rsidP="001B3C47">
      <w:pPr>
        <w:pStyle w:val="p3"/>
        <w:rPr>
          <w:rFonts w:ascii="Verdana" w:hAnsi="Verdana"/>
          <w:sz w:val="26"/>
          <w:szCs w:val="26"/>
        </w:rPr>
      </w:pPr>
      <w:r w:rsidRPr="00C44365">
        <w:rPr>
          <w:rStyle w:val="s2"/>
          <w:rFonts w:ascii="Verdana" w:hAnsi="Verdana"/>
          <w:sz w:val="26"/>
          <w:szCs w:val="26"/>
        </w:rPr>
        <w:t>Disability is a societal issue and DFI works with Government, and across all the social and economic strands and interests of society.</w:t>
      </w:r>
    </w:p>
    <w:p w14:paraId="57192EE2" w14:textId="77777777" w:rsidR="001B3C47" w:rsidRPr="00C44365" w:rsidRDefault="001B3C47" w:rsidP="001B3C47">
      <w:pPr>
        <w:pStyle w:val="p2"/>
        <w:rPr>
          <w:rStyle w:val="s1"/>
          <w:rFonts w:ascii="Verdana" w:hAnsi="Verdana"/>
        </w:rPr>
      </w:pPr>
    </w:p>
    <w:p w14:paraId="7C287834" w14:textId="77777777" w:rsidR="001B3C47" w:rsidRPr="00C44365" w:rsidRDefault="001B3C47" w:rsidP="001B3C47">
      <w:pPr>
        <w:pStyle w:val="p2"/>
        <w:rPr>
          <w:rFonts w:ascii="Verdana" w:hAnsi="Verdana"/>
        </w:rPr>
      </w:pPr>
      <w:r w:rsidRPr="00C44365">
        <w:rPr>
          <w:rStyle w:val="s1"/>
          <w:rFonts w:ascii="Verdana" w:hAnsi="Verdana"/>
        </w:rPr>
        <w:t xml:space="preserve">DFI, </w:t>
      </w:r>
      <w:proofErr w:type="spellStart"/>
      <w:r w:rsidRPr="00C44365">
        <w:rPr>
          <w:rStyle w:val="s1"/>
          <w:rFonts w:ascii="Verdana" w:hAnsi="Verdana"/>
        </w:rPr>
        <w:t>Fumbally</w:t>
      </w:r>
      <w:proofErr w:type="spellEnd"/>
      <w:r w:rsidRPr="00C44365">
        <w:rPr>
          <w:rStyle w:val="s1"/>
          <w:rFonts w:ascii="Verdana" w:hAnsi="Verdana"/>
        </w:rPr>
        <w:t xml:space="preserve"> Court, </w:t>
      </w:r>
      <w:proofErr w:type="spellStart"/>
      <w:r w:rsidRPr="00C44365">
        <w:rPr>
          <w:rStyle w:val="s1"/>
          <w:rFonts w:ascii="Verdana" w:hAnsi="Verdana"/>
        </w:rPr>
        <w:t>Fumbally</w:t>
      </w:r>
      <w:proofErr w:type="spellEnd"/>
      <w:r w:rsidRPr="00C44365">
        <w:rPr>
          <w:rStyle w:val="s1"/>
          <w:rFonts w:ascii="Verdana" w:hAnsi="Verdana"/>
        </w:rPr>
        <w:t xml:space="preserve"> Lane, Dublin 8</w:t>
      </w:r>
    </w:p>
    <w:p w14:paraId="37985681" w14:textId="77777777" w:rsidR="001B3C47" w:rsidRPr="00C44365" w:rsidRDefault="001B3C47" w:rsidP="001B3C47">
      <w:pPr>
        <w:pStyle w:val="p2"/>
        <w:rPr>
          <w:rFonts w:ascii="Verdana" w:hAnsi="Verdana"/>
        </w:rPr>
      </w:pPr>
      <w:r w:rsidRPr="00C44365">
        <w:rPr>
          <w:rStyle w:val="s1"/>
          <w:rFonts w:ascii="Verdana" w:hAnsi="Verdana"/>
        </w:rPr>
        <w:t xml:space="preserve">Tel: </w:t>
      </w:r>
      <w:hyperlink r:id="rId17" w:history="1">
        <w:r w:rsidRPr="00C44365">
          <w:rPr>
            <w:rStyle w:val="s3"/>
            <w:rFonts w:ascii="Verdana" w:hAnsi="Verdana"/>
            <w:color w:val="auto"/>
          </w:rPr>
          <w:t>01-4547978</w:t>
        </w:r>
      </w:hyperlink>
      <w:r w:rsidRPr="00C44365">
        <w:rPr>
          <w:rStyle w:val="s1"/>
          <w:rFonts w:ascii="Verdana" w:hAnsi="Verdana"/>
          <w:color w:val="auto"/>
        </w:rPr>
        <w:t xml:space="preserve">, Fax: </w:t>
      </w:r>
      <w:hyperlink r:id="rId18" w:history="1">
        <w:r w:rsidRPr="00C44365">
          <w:rPr>
            <w:rStyle w:val="s3"/>
            <w:rFonts w:ascii="Verdana" w:hAnsi="Verdana"/>
            <w:color w:val="auto"/>
          </w:rPr>
          <w:t>01-4547981</w:t>
        </w:r>
      </w:hyperlink>
    </w:p>
    <w:p w14:paraId="6A3B7731" w14:textId="77777777" w:rsidR="001B3C47" w:rsidRPr="00C44365" w:rsidRDefault="001B3C47" w:rsidP="001B3C47">
      <w:pPr>
        <w:pStyle w:val="p2"/>
        <w:rPr>
          <w:rStyle w:val="s1"/>
          <w:rFonts w:ascii="Verdana" w:hAnsi="Verdana"/>
        </w:rPr>
      </w:pPr>
      <w:r w:rsidRPr="00C44365">
        <w:rPr>
          <w:rStyle w:val="s1"/>
          <w:rFonts w:ascii="Verdana" w:hAnsi="Verdana"/>
        </w:rPr>
        <w:t xml:space="preserve">Email: </w:t>
      </w:r>
      <w:hyperlink r:id="rId19" w:history="1">
        <w:r w:rsidRPr="00C44365">
          <w:rPr>
            <w:rStyle w:val="Hyperlink"/>
            <w:rFonts w:ascii="Verdana" w:hAnsi="Verdana"/>
          </w:rPr>
          <w:t>info@disability-federation.ie</w:t>
        </w:r>
      </w:hyperlink>
      <w:r w:rsidRPr="00C44365">
        <w:rPr>
          <w:rStyle w:val="s1"/>
          <w:rFonts w:ascii="Verdana" w:hAnsi="Verdana"/>
        </w:rPr>
        <w:t xml:space="preserve"> </w:t>
      </w:r>
    </w:p>
    <w:p w14:paraId="065874F6" w14:textId="77777777" w:rsidR="001B3C47" w:rsidRPr="00C44365" w:rsidRDefault="001B3C47" w:rsidP="001B3C47">
      <w:pPr>
        <w:pStyle w:val="p2"/>
        <w:rPr>
          <w:rFonts w:ascii="Verdana" w:hAnsi="Verdana"/>
        </w:rPr>
      </w:pPr>
      <w:r w:rsidRPr="00C44365">
        <w:rPr>
          <w:rStyle w:val="s1"/>
          <w:rFonts w:ascii="Verdana" w:hAnsi="Verdana"/>
        </w:rPr>
        <w:t xml:space="preserve">Web: </w:t>
      </w:r>
      <w:hyperlink r:id="rId20" w:history="1">
        <w:r w:rsidRPr="00C44365">
          <w:rPr>
            <w:rStyle w:val="s4"/>
            <w:rFonts w:ascii="Verdana" w:hAnsi="Verdana"/>
            <w:color w:val="auto"/>
          </w:rPr>
          <w:t>www.disability-federation.ie</w:t>
        </w:r>
      </w:hyperlink>
      <w:r w:rsidRPr="00C44365">
        <w:rPr>
          <w:rStyle w:val="s1"/>
          <w:rFonts w:ascii="Verdana" w:hAnsi="Verdana"/>
        </w:rPr>
        <w:t xml:space="preserve"> </w:t>
      </w:r>
    </w:p>
    <w:p w14:paraId="0A8BB2E6" w14:textId="77777777" w:rsidR="001B3C47" w:rsidRPr="00C44365" w:rsidRDefault="001B3C47" w:rsidP="001B3C47">
      <w:pPr>
        <w:pStyle w:val="p2"/>
        <w:rPr>
          <w:rFonts w:ascii="Verdana" w:hAnsi="Verdana"/>
        </w:rPr>
      </w:pPr>
      <w:r w:rsidRPr="00C44365">
        <w:rPr>
          <w:rStyle w:val="s1"/>
          <w:rFonts w:ascii="Verdana" w:hAnsi="Verdana"/>
        </w:rPr>
        <w:t>Disability Federation of Ireland is a company limited by guarantee not having share capital, registered in Dublin.</w:t>
      </w:r>
    </w:p>
    <w:p w14:paraId="340A4150" w14:textId="6EEB0A95" w:rsidR="001B3C47" w:rsidRDefault="001B3C47" w:rsidP="001B3C47">
      <w:pPr>
        <w:pStyle w:val="p2"/>
        <w:rPr>
          <w:rStyle w:val="s1"/>
          <w:rFonts w:ascii="Verdana" w:hAnsi="Verdana"/>
        </w:rPr>
      </w:pPr>
      <w:r w:rsidRPr="00C44365">
        <w:rPr>
          <w:rStyle w:val="s1"/>
          <w:rFonts w:ascii="Verdana" w:hAnsi="Verdana"/>
        </w:rPr>
        <w:t>Registered No 140948, CHY No 6177, CRA No 20010584</w:t>
      </w:r>
    </w:p>
    <w:p w14:paraId="1CEEB37A" w14:textId="77777777" w:rsidR="00D92A02" w:rsidRDefault="00D92A02" w:rsidP="001B3C47">
      <w:pPr>
        <w:pStyle w:val="p2"/>
        <w:rPr>
          <w:rFonts w:ascii="Verdana" w:hAnsi="Verdana"/>
        </w:rPr>
      </w:pPr>
    </w:p>
    <w:p w14:paraId="08785E8D" w14:textId="77777777" w:rsidR="001B3C47" w:rsidRDefault="001B3C47" w:rsidP="001B3C47">
      <w:pPr>
        <w:rPr>
          <w:rFonts w:ascii="Verdana" w:hAnsi="Verdana" w:cs="Times New Roman"/>
          <w:color w:val="454545"/>
          <w:sz w:val="26"/>
          <w:szCs w:val="26"/>
          <w:lang w:eastAsia="en-IE"/>
        </w:rPr>
      </w:pPr>
      <w:r>
        <w:rPr>
          <w:noProof/>
        </w:rPr>
        <w:drawing>
          <wp:anchor distT="0" distB="0" distL="114300" distR="114300" simplePos="0" relativeHeight="251658240" behindDoc="1" locked="0" layoutInCell="1" allowOverlap="1" wp14:anchorId="7E266985" wp14:editId="22AB1DC9">
            <wp:simplePos x="0" y="0"/>
            <wp:positionH relativeFrom="margin">
              <wp:align>center</wp:align>
            </wp:positionH>
            <wp:positionV relativeFrom="paragraph">
              <wp:posOffset>14508</wp:posOffset>
            </wp:positionV>
            <wp:extent cx="705485" cy="705485"/>
            <wp:effectExtent l="0" t="0" r="0" b="0"/>
            <wp:wrapThrough wrapText="bothSides">
              <wp:wrapPolygon edited="0">
                <wp:start x="0" y="0"/>
                <wp:lineTo x="0" y="20997"/>
                <wp:lineTo x="20997" y="20997"/>
                <wp:lineTo x="20997" y="0"/>
                <wp:lineTo x="0" y="0"/>
              </wp:wrapPolygon>
            </wp:wrapThrough>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05485" cy="7054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CFFB73" w14:textId="77777777" w:rsidR="001B3C47" w:rsidRPr="00591161" w:rsidRDefault="001B3C47" w:rsidP="001B3C47">
      <w:pPr>
        <w:rPr>
          <w:lang w:eastAsia="en-IE"/>
        </w:rPr>
      </w:pPr>
    </w:p>
    <w:p w14:paraId="2CC11900" w14:textId="26862573" w:rsidR="001B3C47" w:rsidRPr="00755B09" w:rsidRDefault="001B3C47" w:rsidP="00755B09">
      <w:pPr>
        <w:pStyle w:val="paragraph"/>
        <w:textAlignment w:val="baseline"/>
        <w:rPr>
          <w:color w:val="454545"/>
        </w:rPr>
      </w:pPr>
      <w:r>
        <w:rPr>
          <w:rStyle w:val="eop"/>
          <w:rFonts w:ascii="Verdana" w:hAnsi="Verdana"/>
          <w:color w:val="454545"/>
          <w:sz w:val="26"/>
          <w:szCs w:val="26"/>
        </w:rPr>
        <w:t> </w:t>
      </w:r>
    </w:p>
    <w:sectPr w:rsidR="001B3C47" w:rsidRPr="00755B09" w:rsidSect="00495CC6">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77E6C" w14:textId="77777777" w:rsidR="00B31C4F" w:rsidRDefault="00B31C4F" w:rsidP="00DB4CD3">
      <w:pPr>
        <w:spacing w:after="0" w:line="240" w:lineRule="auto"/>
      </w:pPr>
      <w:r>
        <w:separator/>
      </w:r>
    </w:p>
  </w:endnote>
  <w:endnote w:type="continuationSeparator" w:id="0">
    <w:p w14:paraId="77035AFC" w14:textId="77777777" w:rsidR="00B31C4F" w:rsidRDefault="00B31C4F" w:rsidP="00DB4CD3">
      <w:pPr>
        <w:spacing w:after="0" w:line="240" w:lineRule="auto"/>
      </w:pPr>
      <w:r>
        <w:continuationSeparator/>
      </w:r>
    </w:p>
  </w:endnote>
  <w:endnote w:type="continuationNotice" w:id="1">
    <w:p w14:paraId="15B4631B" w14:textId="77777777" w:rsidR="00B31C4F" w:rsidRDefault="00B31C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F UI Text">
    <w:altName w:val="Times New Roman"/>
    <w:charset w:val="00"/>
    <w:family w:val="auto"/>
    <w:pitch w:val="default"/>
  </w:font>
  <w:font w:name=".SFUIText">
    <w:altName w:val="Times New Roman"/>
    <w:charset w:val="00"/>
    <w:family w:val="auto"/>
    <w:pitch w:val="default"/>
  </w:font>
  <w:font w:name=".SFUIText-Semibol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B5AD5" w14:textId="77777777" w:rsidR="00495CC6" w:rsidRDefault="00495C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0197256"/>
      <w:docPartObj>
        <w:docPartGallery w:val="Page Numbers (Bottom of Page)"/>
        <w:docPartUnique/>
      </w:docPartObj>
    </w:sdtPr>
    <w:sdtEndPr/>
    <w:sdtContent>
      <w:p w14:paraId="14E2F1E2" w14:textId="6BFAAE95" w:rsidR="004268D4" w:rsidRDefault="004268D4">
        <w:pPr>
          <w:pStyle w:val="Footer"/>
          <w:jc w:val="center"/>
        </w:pPr>
        <w:r>
          <w:fldChar w:fldCharType="begin"/>
        </w:r>
        <w:r>
          <w:instrText>PAGE   \* MERGEFORMAT</w:instrText>
        </w:r>
        <w:r>
          <w:fldChar w:fldCharType="separate"/>
        </w:r>
        <w:r>
          <w:rPr>
            <w:lang w:val="en-GB"/>
          </w:rPr>
          <w:t>2</w:t>
        </w:r>
        <w:r>
          <w:fldChar w:fldCharType="end"/>
        </w:r>
      </w:p>
    </w:sdtContent>
  </w:sdt>
  <w:p w14:paraId="492A3EBA" w14:textId="77777777" w:rsidR="00434589" w:rsidRPr="00434589" w:rsidRDefault="00434589" w:rsidP="004345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627DB" w14:textId="77777777" w:rsidR="00495CC6" w:rsidRDefault="00495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8CD32" w14:textId="77777777" w:rsidR="00B31C4F" w:rsidRDefault="00B31C4F" w:rsidP="00DB4CD3">
      <w:pPr>
        <w:spacing w:after="0" w:line="240" w:lineRule="auto"/>
      </w:pPr>
      <w:r>
        <w:separator/>
      </w:r>
    </w:p>
  </w:footnote>
  <w:footnote w:type="continuationSeparator" w:id="0">
    <w:p w14:paraId="06E87F6C" w14:textId="77777777" w:rsidR="00B31C4F" w:rsidRDefault="00B31C4F" w:rsidP="00DB4CD3">
      <w:pPr>
        <w:spacing w:after="0" w:line="240" w:lineRule="auto"/>
      </w:pPr>
      <w:r>
        <w:continuationSeparator/>
      </w:r>
    </w:p>
  </w:footnote>
  <w:footnote w:type="continuationNotice" w:id="1">
    <w:p w14:paraId="10F6EF00" w14:textId="77777777" w:rsidR="00B31C4F" w:rsidRDefault="00B31C4F">
      <w:pPr>
        <w:spacing w:after="0" w:line="240" w:lineRule="auto"/>
      </w:pPr>
    </w:p>
  </w:footnote>
  <w:footnote w:id="2">
    <w:p w14:paraId="686D6859" w14:textId="1A2B6D31" w:rsidR="00EE4905" w:rsidRDefault="00EE4905">
      <w:pPr>
        <w:pStyle w:val="FootnoteText"/>
      </w:pPr>
      <w:r>
        <w:rPr>
          <w:rStyle w:val="FootnoteReference"/>
        </w:rPr>
        <w:footnoteRef/>
      </w:r>
      <w:r>
        <w:t xml:space="preserve"> </w:t>
      </w:r>
      <w:hyperlink r:id="rId1" w:history="1">
        <w:r w:rsidR="00DF5682" w:rsidRPr="00EF12AC">
          <w:rPr>
            <w:rStyle w:val="Hyperlink"/>
          </w:rPr>
          <w:t>https://www.budgeting.ie/publications/mesl-2024/</w:t>
        </w:r>
      </w:hyperlink>
      <w:r w:rsidR="00DF5682">
        <w:t xml:space="preserve"> </w:t>
      </w:r>
    </w:p>
  </w:footnote>
  <w:footnote w:id="3">
    <w:p w14:paraId="0F7BD77A" w14:textId="77777777" w:rsidR="002D7589" w:rsidRDefault="002D7589" w:rsidP="002D7589">
      <w:pPr>
        <w:pStyle w:val="FootnoteText"/>
      </w:pPr>
      <w:r>
        <w:rPr>
          <w:rStyle w:val="FootnoteReference"/>
        </w:rPr>
        <w:footnoteRef/>
      </w:r>
      <w:r>
        <w:t xml:space="preserve"> This disregard has not been reviewed since 2007.</w:t>
      </w:r>
    </w:p>
  </w:footnote>
  <w:footnote w:id="4">
    <w:p w14:paraId="261DAF79" w14:textId="3EE29B88" w:rsidR="00ED61DB" w:rsidRDefault="00C82EAD" w:rsidP="00C82EAD">
      <w:pPr>
        <w:pStyle w:val="FootnoteText"/>
      </w:pPr>
      <w:r>
        <w:rPr>
          <w:rStyle w:val="FootnoteReference"/>
        </w:rPr>
        <w:footnoteRef/>
      </w:r>
      <w:r>
        <w:t xml:space="preserve"> See</w:t>
      </w:r>
      <w:r w:rsidR="00ED61DB">
        <w:t xml:space="preserve"> </w:t>
      </w:r>
      <w:hyperlink r:id="rId2" w:history="1">
        <w:r w:rsidR="00ED61DB" w:rsidRPr="00D30848">
          <w:rPr>
            <w:rStyle w:val="Hyperlink"/>
          </w:rPr>
          <w:t>https://www.disability-federation.ie/publications/epap-consultation-may-2024-dfi-submission/</w:t>
        </w:r>
      </w:hyperlink>
    </w:p>
  </w:footnote>
  <w:footnote w:id="5">
    <w:p w14:paraId="088CEFDB" w14:textId="77777777" w:rsidR="00506CA2" w:rsidRDefault="00506CA2" w:rsidP="00506CA2">
      <w:pPr>
        <w:pStyle w:val="FootnoteText"/>
      </w:pPr>
      <w:r>
        <w:rPr>
          <w:rStyle w:val="FootnoteReference"/>
        </w:rPr>
        <w:footnoteRef/>
      </w:r>
      <w:r>
        <w:t xml:space="preserve"> </w:t>
      </w:r>
      <w:hyperlink r:id="rId3" w:history="1">
        <w:r w:rsidRPr="0064671E">
          <w:rPr>
            <w:rStyle w:val="Hyperlink"/>
          </w:rPr>
          <w:t>https://ec.europa.eu/eurostat/databrowser/view/hlth_dpe010/default/table?lang=en</w:t>
        </w:r>
      </w:hyperlink>
    </w:p>
  </w:footnote>
  <w:footnote w:id="6">
    <w:p w14:paraId="65519A04" w14:textId="77777777" w:rsidR="005666FE" w:rsidRDefault="005666FE" w:rsidP="005666FE">
      <w:pPr>
        <w:pStyle w:val="FootnoteText"/>
      </w:pPr>
      <w:r>
        <w:rPr>
          <w:rStyle w:val="FootnoteReference"/>
        </w:rPr>
        <w:footnoteRef/>
      </w:r>
      <w:r>
        <w:t xml:space="preserve"> </w:t>
      </w:r>
      <w:hyperlink r:id="rId4" w:history="1">
        <w:r w:rsidRPr="0064671E">
          <w:rPr>
            <w:rStyle w:val="Hyperlink"/>
          </w:rPr>
          <w:t>https://www.cso.ie/en/releasesandpublications/ep/p-silc/surveyonincomeandlivingconditionssilc2023/poverty/</w:t>
        </w:r>
      </w:hyperlink>
      <w:r>
        <w:t xml:space="preserve"> </w:t>
      </w:r>
    </w:p>
  </w:footnote>
  <w:footnote w:id="7">
    <w:p w14:paraId="4133E63C" w14:textId="4AAF7FBC" w:rsidR="00034E65" w:rsidRPr="00034E65" w:rsidRDefault="00034E65">
      <w:pPr>
        <w:pStyle w:val="FootnoteText"/>
      </w:pPr>
      <w:r>
        <w:rPr>
          <w:rStyle w:val="FootnoteReference"/>
        </w:rPr>
        <w:footnoteRef/>
      </w:r>
      <w:r>
        <w:t xml:space="preserve"> </w:t>
      </w:r>
      <w:hyperlink r:id="rId5" w:history="1">
        <w:r w:rsidRPr="00BE39ED">
          <w:rPr>
            <w:rStyle w:val="Hyperlink"/>
          </w:rPr>
          <w:t>https://www.cso.ie/en/releasesandpublications/ep/p-silc/surveyonincomeandlivingconditionssilc2023/equivalisedincome/</w:t>
        </w:r>
      </w:hyperlink>
      <w:r>
        <w:t xml:space="preserve"> </w:t>
      </w:r>
    </w:p>
  </w:footnote>
  <w:footnote w:id="8">
    <w:p w14:paraId="237929DC" w14:textId="5CF746BE" w:rsidR="00B36154" w:rsidRDefault="00A2422C">
      <w:pPr>
        <w:pStyle w:val="FootnoteText"/>
      </w:pPr>
      <w:r>
        <w:rPr>
          <w:rStyle w:val="FootnoteReference"/>
        </w:rPr>
        <w:footnoteRef/>
      </w:r>
      <w:r>
        <w:t xml:space="preserve"> </w:t>
      </w:r>
      <w:hyperlink r:id="rId6" w:history="1">
        <w:r w:rsidR="00A12D9E" w:rsidRPr="00D30848">
          <w:rPr>
            <w:rStyle w:val="Hyperlink"/>
          </w:rPr>
          <w:t>https://www.cso.ie/en/releasesandpublications/ep/p-pihs/povertyindicatorsbyhealthstatus-surveyonincomeandlivingconditionssilc2023/keyfindings/</w:t>
        </w:r>
      </w:hyperlink>
      <w:r w:rsidR="00A12D9E">
        <w:t xml:space="preserve"> </w:t>
      </w:r>
    </w:p>
  </w:footnote>
  <w:footnote w:id="9">
    <w:p w14:paraId="75769663" w14:textId="281BDBDD" w:rsidR="009D316F" w:rsidRDefault="009D316F" w:rsidP="009D316F">
      <w:pPr>
        <w:pStyle w:val="FootnoteText"/>
      </w:pPr>
      <w:r>
        <w:rPr>
          <w:rStyle w:val="FootnoteReference"/>
        </w:rPr>
        <w:footnoteRef/>
      </w:r>
      <w:r>
        <w:t xml:space="preserve"> </w:t>
      </w:r>
      <w:hyperlink r:id="rId7" w:history="1">
        <w:r w:rsidR="001D487A" w:rsidRPr="00D30848">
          <w:rPr>
            <w:rStyle w:val="Hyperlink"/>
          </w:rPr>
          <w:t>https://www.cso.ie/en/releasesandpublications/ep/p-wbsilc/well-being-surveyonincomeandlivingconditionssilc2023/keyfindings/</w:t>
        </w:r>
      </w:hyperlink>
      <w:r w:rsidR="001D487A">
        <w:t xml:space="preserve"> </w:t>
      </w:r>
    </w:p>
  </w:footnote>
  <w:footnote w:id="10">
    <w:p w14:paraId="17D8B8DC" w14:textId="77777777" w:rsidR="00B43C1A" w:rsidRDefault="00B43C1A" w:rsidP="00B43C1A">
      <w:pPr>
        <w:pStyle w:val="FootnoteText"/>
      </w:pPr>
      <w:r>
        <w:rPr>
          <w:rStyle w:val="FootnoteReference"/>
        </w:rPr>
        <w:footnoteRef/>
      </w:r>
      <w:r>
        <w:t xml:space="preserve"> </w:t>
      </w:r>
      <w:hyperlink r:id="rId8" w:history="1">
        <w:r w:rsidRPr="007C6C58">
          <w:rPr>
            <w:rStyle w:val="Hyperlink"/>
          </w:rPr>
          <w:t>https://www.gov.ie/en/publication/7e05d-programme-for-government-our-shared-future/</w:t>
        </w:r>
      </w:hyperlink>
      <w:r>
        <w:t xml:space="preserve">, </w:t>
      </w:r>
      <w:r w:rsidRPr="003642F5">
        <w:t>p.75</w:t>
      </w:r>
      <w:r>
        <w:t>.</w:t>
      </w:r>
    </w:p>
  </w:footnote>
  <w:footnote w:id="11">
    <w:p w14:paraId="47DC28F4" w14:textId="120DDA4C" w:rsidR="00513BAE" w:rsidRDefault="00513BAE">
      <w:pPr>
        <w:pStyle w:val="FootnoteText"/>
      </w:pPr>
      <w:r>
        <w:rPr>
          <w:rStyle w:val="FootnoteReference"/>
        </w:rPr>
        <w:footnoteRef/>
      </w:r>
      <w:r>
        <w:t xml:space="preserve"> </w:t>
      </w:r>
      <w:hyperlink r:id="rId9" w:history="1">
        <w:r w:rsidR="00780C00" w:rsidRPr="00D30848">
          <w:rPr>
            <w:rStyle w:val="Hyperlink"/>
          </w:rPr>
          <w:t>https://economy-finance.ec.europa.eu/document/download/9f14e528-de10-41aa-8b4d-01c5848784c8_en?filename=SWD_2024_607_1_EN_Ireland.pdf</w:t>
        </w:r>
      </w:hyperlink>
      <w:r w:rsidR="00780C00">
        <w:t xml:space="preserve"> </w:t>
      </w:r>
    </w:p>
  </w:footnote>
  <w:footnote w:id="12">
    <w:p w14:paraId="65EFF31D" w14:textId="4F954730" w:rsidR="0015559A" w:rsidRPr="00032716" w:rsidRDefault="0015559A" w:rsidP="0015559A">
      <w:pPr>
        <w:pStyle w:val="FootnoteText"/>
      </w:pPr>
      <w:r>
        <w:rPr>
          <w:rStyle w:val="FootnoteReference"/>
        </w:rPr>
        <w:footnoteRef/>
      </w:r>
      <w:r>
        <w:t xml:space="preserve"> </w:t>
      </w:r>
      <w:hyperlink r:id="rId10" w:history="1">
        <w:r w:rsidRPr="009D18C0">
          <w:rPr>
            <w:rStyle w:val="Hyperlink"/>
          </w:rPr>
          <w:t>https://www.gov.ie/en/organisation-information/be955a-social-inclusion-division/?referrer=http://www.gov.ie/socialinclusion/</w:t>
        </w:r>
      </w:hyperlink>
    </w:p>
  </w:footnote>
  <w:footnote w:id="13">
    <w:p w14:paraId="63CF9C00" w14:textId="77777777" w:rsidR="0040385F" w:rsidRDefault="0040385F" w:rsidP="0040385F">
      <w:pPr>
        <w:pStyle w:val="FootnoteText"/>
      </w:pPr>
      <w:r>
        <w:rPr>
          <w:rStyle w:val="FootnoteReference"/>
        </w:rPr>
        <w:footnoteRef/>
      </w:r>
      <w:r>
        <w:t xml:space="preserve"> </w:t>
      </w:r>
      <w:hyperlink r:id="rId11" w:history="1">
        <w:r w:rsidRPr="00FF0152">
          <w:rPr>
            <w:rStyle w:val="Hyperlink"/>
          </w:rPr>
          <w:t>https://www.edf-feph.org/majority-of-persons-with-disabilities-locked-out-of-quality-employment/</w:t>
        </w:r>
      </w:hyperlink>
      <w:r>
        <w:t>.</w:t>
      </w:r>
    </w:p>
  </w:footnote>
  <w:footnote w:id="14">
    <w:p w14:paraId="0C2A4C4A" w14:textId="14559399" w:rsidR="00847BFE" w:rsidRDefault="00847BFE" w:rsidP="00847BFE">
      <w:pPr>
        <w:pStyle w:val="FootnoteText"/>
      </w:pPr>
      <w:r>
        <w:rPr>
          <w:rStyle w:val="FootnoteReference"/>
        </w:rPr>
        <w:footnoteRef/>
      </w:r>
      <w:r>
        <w:t xml:space="preserve"> </w:t>
      </w:r>
      <w:hyperlink r:id="rId12" w:history="1">
        <w:r w:rsidRPr="0064671E">
          <w:rPr>
            <w:rStyle w:val="Hyperlink"/>
          </w:rPr>
          <w:t>https://www.oecd.org/employment/disability-work-and-inclusion-1eaa5e9c-en.htm</w:t>
        </w:r>
      </w:hyperlink>
      <w:r w:rsidR="00F0524F">
        <w:t xml:space="preserve">, </w:t>
      </w:r>
      <w:hyperlink r:id="rId13" w:history="1">
        <w:r w:rsidRPr="0064671E">
          <w:rPr>
            <w:rStyle w:val="Hyperlink"/>
          </w:rPr>
          <w:t>https://www.oecd.org/cfe/disability-work-and-inclusion-in-ireland-74b45baa-en.htm</w:t>
        </w:r>
      </w:hyperlink>
      <w:r w:rsidR="00F0524F">
        <w:rPr>
          <w:rStyle w:val="Hyperlink"/>
        </w:rPr>
        <w:t>.</w:t>
      </w:r>
    </w:p>
  </w:footnote>
  <w:footnote w:id="15">
    <w:p w14:paraId="2EA0938D" w14:textId="77777777" w:rsidR="0040385F" w:rsidRDefault="0040385F" w:rsidP="0040385F">
      <w:pPr>
        <w:pStyle w:val="FootnoteText"/>
      </w:pPr>
      <w:r>
        <w:rPr>
          <w:rStyle w:val="FootnoteReference"/>
        </w:rPr>
        <w:footnoteRef/>
      </w:r>
      <w:r>
        <w:t xml:space="preserve"> </w:t>
      </w:r>
      <w:hyperlink r:id="rId14" w:history="1">
        <w:r w:rsidRPr="007A7AFE">
          <w:rPr>
            <w:rStyle w:val="Hyperlink"/>
          </w:rPr>
          <w:t>https://nda.ie/publications/discussion-paper-on-new-disability-employment-targets</w:t>
        </w:r>
      </w:hyperlink>
      <w:r>
        <w:t xml:space="preserve">, p 4. </w:t>
      </w:r>
    </w:p>
  </w:footnote>
  <w:footnote w:id="16">
    <w:p w14:paraId="6149631C" w14:textId="2F01CA9E" w:rsidR="0040385F" w:rsidRDefault="0040385F" w:rsidP="0040385F">
      <w:pPr>
        <w:pStyle w:val="FootnoteText"/>
      </w:pPr>
      <w:r>
        <w:rPr>
          <w:rStyle w:val="FootnoteReference"/>
        </w:rPr>
        <w:footnoteRef/>
      </w:r>
      <w:r>
        <w:t xml:space="preserve"> Op </w:t>
      </w:r>
      <w:proofErr w:type="spellStart"/>
      <w:r>
        <w:t>cit</w:t>
      </w:r>
      <w:proofErr w:type="spellEnd"/>
      <w:r>
        <w:t>, p.11</w:t>
      </w:r>
      <w:r w:rsidR="00583F01">
        <w:t>.</w:t>
      </w:r>
    </w:p>
  </w:footnote>
  <w:footnote w:id="17">
    <w:p w14:paraId="7B865C01" w14:textId="72C6E6E9" w:rsidR="00FF29F8" w:rsidRDefault="00FF29F8">
      <w:pPr>
        <w:pStyle w:val="FootnoteText"/>
      </w:pPr>
      <w:r>
        <w:rPr>
          <w:rStyle w:val="FootnoteReference"/>
        </w:rPr>
        <w:footnoteRef/>
      </w:r>
      <w:r>
        <w:t xml:space="preserve"> </w:t>
      </w:r>
      <w:hyperlink r:id="rId15" w:history="1">
        <w:r w:rsidRPr="00D30848">
          <w:rPr>
            <w:rStyle w:val="Hyperlink"/>
          </w:rPr>
          <w:t>https://economy-finance.ec.europa.eu/document/download/9f14e528-de10-41aa-8b4d-01c5848784c8_en?filename=SWD_2024_607_1_EN_Ireland.pdf</w:t>
        </w:r>
      </w:hyperlink>
      <w:r>
        <w:t xml:space="preserve"> </w:t>
      </w:r>
      <w:r w:rsidR="0053389C">
        <w:t>p.4</w:t>
      </w:r>
      <w:r w:rsidR="00583F01">
        <w:t>.</w:t>
      </w:r>
      <w:r w:rsidR="0053389C">
        <w:t xml:space="preserve"> </w:t>
      </w:r>
    </w:p>
  </w:footnote>
  <w:footnote w:id="18">
    <w:p w14:paraId="6D496B22" w14:textId="67F4A243" w:rsidR="00F35C41" w:rsidRDefault="00F35C41">
      <w:pPr>
        <w:pStyle w:val="FootnoteText"/>
      </w:pPr>
      <w:r>
        <w:rPr>
          <w:rStyle w:val="FootnoteReference"/>
        </w:rPr>
        <w:footnoteRef/>
      </w:r>
      <w:r>
        <w:t xml:space="preserve"> Op </w:t>
      </w:r>
      <w:proofErr w:type="spellStart"/>
      <w:r>
        <w:t>cit</w:t>
      </w:r>
      <w:proofErr w:type="spellEnd"/>
      <w:r>
        <w:t xml:space="preserve"> p.</w:t>
      </w:r>
      <w:r w:rsidR="0053389C">
        <w:t xml:space="preserve"> 66</w:t>
      </w:r>
      <w:r w:rsidR="00583F01">
        <w:t>.</w:t>
      </w:r>
    </w:p>
  </w:footnote>
  <w:footnote w:id="19">
    <w:p w14:paraId="38EAD0D8" w14:textId="5AC3C10C" w:rsidR="00534511" w:rsidRDefault="00534511">
      <w:pPr>
        <w:pStyle w:val="FootnoteText"/>
      </w:pPr>
      <w:r>
        <w:rPr>
          <w:rStyle w:val="FootnoteReference"/>
        </w:rPr>
        <w:footnoteRef/>
      </w:r>
      <w:r>
        <w:t xml:space="preserve"> Op </w:t>
      </w:r>
      <w:proofErr w:type="spellStart"/>
      <w:r>
        <w:t>cit</w:t>
      </w:r>
      <w:proofErr w:type="spellEnd"/>
      <w:r>
        <w:t xml:space="preserve"> p</w:t>
      </w:r>
      <w:r w:rsidR="00B204E6">
        <w:t>. 69</w:t>
      </w:r>
      <w:r w:rsidR="00583F01">
        <w:t>.</w:t>
      </w:r>
    </w:p>
  </w:footnote>
  <w:footnote w:id="20">
    <w:p w14:paraId="32972199" w14:textId="57791266" w:rsidR="00CA1640" w:rsidRDefault="00CA1640">
      <w:pPr>
        <w:pStyle w:val="FootnoteText"/>
      </w:pPr>
      <w:r>
        <w:rPr>
          <w:rStyle w:val="FootnoteReference"/>
        </w:rPr>
        <w:footnoteRef/>
      </w:r>
      <w:r>
        <w:t xml:space="preserve"> Op </w:t>
      </w:r>
      <w:proofErr w:type="spellStart"/>
      <w:r>
        <w:t>cit</w:t>
      </w:r>
      <w:proofErr w:type="spellEnd"/>
      <w:r>
        <w:t xml:space="preserve"> p.65</w:t>
      </w:r>
      <w:r w:rsidR="00583F01">
        <w:t>.</w:t>
      </w:r>
    </w:p>
  </w:footnote>
  <w:footnote w:id="21">
    <w:p w14:paraId="38CC8D3B" w14:textId="67F7F94B" w:rsidR="00C75D64" w:rsidRDefault="00C75D64">
      <w:pPr>
        <w:pStyle w:val="FootnoteText"/>
      </w:pPr>
      <w:r>
        <w:rPr>
          <w:rStyle w:val="FootnoteReference"/>
        </w:rPr>
        <w:footnoteRef/>
      </w:r>
      <w:r>
        <w:t xml:space="preserve"> </w:t>
      </w:r>
      <w:r w:rsidR="00993651">
        <w:t xml:space="preserve">Op </w:t>
      </w:r>
      <w:proofErr w:type="spellStart"/>
      <w:r w:rsidR="00993651">
        <w:t>cit</w:t>
      </w:r>
      <w:proofErr w:type="spellEnd"/>
      <w:r w:rsidR="00993651">
        <w:t xml:space="preserve"> p</w:t>
      </w:r>
      <w:r w:rsidR="00A53E9F">
        <w:t>.</w:t>
      </w:r>
      <w:r w:rsidR="00993651">
        <w:t>15</w:t>
      </w:r>
      <w:r w:rsidR="00A53E9F">
        <w:t>.</w:t>
      </w:r>
    </w:p>
  </w:footnote>
  <w:footnote w:id="22">
    <w:p w14:paraId="6FFA9547" w14:textId="77777777" w:rsidR="00EB5C93" w:rsidRPr="0077217E" w:rsidRDefault="00EB5C93" w:rsidP="00EB5C93">
      <w:pPr>
        <w:pStyle w:val="FootnoteText"/>
      </w:pPr>
      <w:r>
        <w:rPr>
          <w:rStyle w:val="FootnoteReference"/>
        </w:rPr>
        <w:footnoteRef/>
      </w:r>
      <w:r>
        <w:t xml:space="preserve"> </w:t>
      </w:r>
      <w:hyperlink r:id="rId16" w:history="1">
        <w:r w:rsidRPr="00041818">
          <w:rPr>
            <w:rStyle w:val="Hyperlink"/>
          </w:rPr>
          <w:t>https://www.gov.ie/en/publication/1d84e-the-cost-of-disability-in-ireland-research-report/</w:t>
        </w:r>
      </w:hyperlink>
    </w:p>
  </w:footnote>
  <w:footnote w:id="23">
    <w:p w14:paraId="665727BB" w14:textId="77777777" w:rsidR="007E1FAA" w:rsidRDefault="007E1FAA" w:rsidP="007E1FAA">
      <w:pPr>
        <w:pStyle w:val="FootnoteText"/>
      </w:pPr>
      <w:r>
        <w:rPr>
          <w:rStyle w:val="FootnoteReference"/>
        </w:rPr>
        <w:footnoteRef/>
      </w:r>
      <w:r>
        <w:t xml:space="preserve"> </w:t>
      </w:r>
      <w:hyperlink r:id="rId17" w:history="1">
        <w:r w:rsidRPr="00AC2CE3">
          <w:rPr>
            <w:rStyle w:val="Hyperlink"/>
          </w:rPr>
          <w:t>https://visual.cso.ie/?body=entity/cpicalculator</w:t>
        </w:r>
      </w:hyperlink>
      <w:r>
        <w:t xml:space="preserve"> </w:t>
      </w:r>
    </w:p>
  </w:footnote>
  <w:footnote w:id="24">
    <w:p w14:paraId="3BCE0A4C" w14:textId="7BA4E074" w:rsidR="00A001AD" w:rsidRPr="00A001AD" w:rsidRDefault="00A001AD">
      <w:pPr>
        <w:pStyle w:val="FootnoteText"/>
        <w:rPr>
          <w:lang w:val="en-GB"/>
        </w:rPr>
      </w:pPr>
      <w:r>
        <w:rPr>
          <w:rStyle w:val="FootnoteReference"/>
        </w:rPr>
        <w:footnoteRef/>
      </w:r>
      <w:r>
        <w:t xml:space="preserve"> </w:t>
      </w:r>
      <w:r w:rsidR="00E5634F">
        <w:t xml:space="preserve">53, page 21, A Strategy for Equality </w:t>
      </w:r>
      <w:hyperlink r:id="rId18" w:history="1">
        <w:r w:rsidR="00E5634F" w:rsidRPr="00B33B91">
          <w:rPr>
            <w:rStyle w:val="Hyperlink"/>
          </w:rPr>
          <w:t>https://www.lenus.ie/bitstream/handle/10147/560531/strategyforequality.pdf?sequence=1&amp;isAllowed=y</w:t>
        </w:r>
      </w:hyperlink>
    </w:p>
  </w:footnote>
  <w:footnote w:id="25">
    <w:p w14:paraId="03B0EEC9" w14:textId="77777777" w:rsidR="00A001AD" w:rsidRDefault="00A001AD" w:rsidP="00A001AD">
      <w:pPr>
        <w:pStyle w:val="FootnoteText"/>
      </w:pPr>
      <w:r>
        <w:rPr>
          <w:rStyle w:val="FootnoteReference"/>
        </w:rPr>
        <w:footnoteRef/>
      </w:r>
      <w:r>
        <w:t xml:space="preserve"> ILO 2023, p.46</w:t>
      </w:r>
      <w:r w:rsidRPr="00AD537A">
        <w:t xml:space="preserve"> </w:t>
      </w:r>
      <w:hyperlink r:id="rId19" w:history="1">
        <w:r w:rsidRPr="00CE3AAD">
          <w:rPr>
            <w:rStyle w:val="Hyperlink"/>
          </w:rPr>
          <w:t>https://www.social-protection.org/gimi/Media.action?id=19143</w:t>
        </w:r>
      </w:hyperlink>
    </w:p>
  </w:footnote>
  <w:footnote w:id="26">
    <w:p w14:paraId="35C542F4" w14:textId="77777777" w:rsidR="00A001AD" w:rsidRDefault="00A001AD" w:rsidP="00A001AD">
      <w:pPr>
        <w:pStyle w:val="FootnoteText"/>
      </w:pPr>
      <w:r>
        <w:rPr>
          <w:rStyle w:val="FootnoteReference"/>
        </w:rPr>
        <w:footnoteRef/>
      </w:r>
      <w:r>
        <w:t xml:space="preserve"> OECD 2008, Sickness, Disability and Work: Breaking the Barriers, vol. 3: Denmark, Finland, Ireland</w:t>
      </w:r>
    </w:p>
    <w:p w14:paraId="6BA64B60" w14:textId="7298E427" w:rsidR="00A001AD" w:rsidRDefault="00A001AD" w:rsidP="00A001AD">
      <w:pPr>
        <w:pStyle w:val="FootnoteText"/>
      </w:pPr>
      <w:r>
        <w:t>and the Netherlands</w:t>
      </w:r>
      <w:r w:rsidR="004B4B10">
        <w:t>,</w:t>
      </w:r>
      <w:r>
        <w:t xml:space="preserve"> p34.</w:t>
      </w:r>
    </w:p>
  </w:footnote>
  <w:footnote w:id="27">
    <w:p w14:paraId="65A69FAD" w14:textId="77777777" w:rsidR="00A001AD" w:rsidRDefault="00A001AD" w:rsidP="00A001AD">
      <w:pPr>
        <w:pStyle w:val="FootnoteText"/>
      </w:pPr>
      <w:r>
        <w:rPr>
          <w:rStyle w:val="FootnoteReference"/>
        </w:rPr>
        <w:footnoteRef/>
      </w:r>
      <w:r>
        <w:t xml:space="preserve"> Christopher Prinz, OECD, Presentation to Green Paper on Disability Reform Public Consultation Event, “DO’S AND DON’TS IN DISABILITY POLICY Key lessons from OECD’s work – and how they are followed by member countries”. </w:t>
      </w:r>
    </w:p>
  </w:footnote>
  <w:footnote w:id="28">
    <w:p w14:paraId="266404C4" w14:textId="09E87395" w:rsidR="00BB031F" w:rsidRDefault="00BB031F">
      <w:pPr>
        <w:pStyle w:val="FootnoteText"/>
      </w:pPr>
      <w:r>
        <w:rPr>
          <w:rStyle w:val="FootnoteReference"/>
        </w:rPr>
        <w:footnoteRef/>
      </w:r>
      <w:r>
        <w:t xml:space="preserve"> </w:t>
      </w:r>
      <w:r w:rsidR="00156EE4">
        <w:t>I</w:t>
      </w:r>
      <w:r w:rsidR="00156EE4" w:rsidRPr="00156EE4">
        <w:t xml:space="preserve">ncluding Social Justice Ireland, </w:t>
      </w:r>
      <w:r w:rsidR="00F23396">
        <w:t>EAPN</w:t>
      </w:r>
      <w:r w:rsidR="00156EE4" w:rsidRPr="00156EE4">
        <w:t xml:space="preserve"> Ireland, Saint Vincent De Paul and the NWCI, as well as signatories to the </w:t>
      </w:r>
      <w:hyperlink r:id="rId20" w:history="1">
        <w:r w:rsidR="00156EE4" w:rsidRPr="009B00EA">
          <w:rPr>
            <w:rStyle w:val="Hyperlink"/>
          </w:rPr>
          <w:t>joint</w:t>
        </w:r>
        <w:r w:rsidR="001B4C65" w:rsidRPr="009B00EA">
          <w:rPr>
            <w:rStyle w:val="Hyperlink"/>
          </w:rPr>
          <w:t xml:space="preserve"> civil society</w:t>
        </w:r>
        <w:r w:rsidR="00156EE4" w:rsidRPr="009B00EA">
          <w:rPr>
            <w:rStyle w:val="Hyperlink"/>
          </w:rPr>
          <w:t xml:space="preserve"> submission to the Energy Poverty Action Plan consultation</w:t>
        </w:r>
      </w:hyperlink>
      <w:r w:rsidR="009B00EA">
        <w:t>.</w:t>
      </w:r>
    </w:p>
  </w:footnote>
  <w:footnote w:id="29">
    <w:p w14:paraId="75E0E7F2" w14:textId="57058A1A" w:rsidR="007221B2" w:rsidRDefault="007221B2">
      <w:pPr>
        <w:pStyle w:val="FootnoteText"/>
      </w:pPr>
      <w:r>
        <w:rPr>
          <w:rStyle w:val="FootnoteReference"/>
        </w:rPr>
        <w:footnoteRef/>
      </w:r>
      <w:r w:rsidR="00230A53">
        <w:t xml:space="preserve"> </w:t>
      </w:r>
      <w:r w:rsidR="00BD2426">
        <w:t xml:space="preserve">See Appendix 2 of </w:t>
      </w:r>
      <w:hyperlink r:id="rId21" w:history="1">
        <w:r w:rsidR="00BD2426" w:rsidRPr="00230A53">
          <w:rPr>
            <w:rStyle w:val="Hyperlink"/>
          </w:rPr>
          <w:t>DFI’s Green Paper submission</w:t>
        </w:r>
      </w:hyperlink>
      <w:r w:rsidR="00230A53">
        <w:t xml:space="preserve"> for details</w:t>
      </w:r>
      <w:r w:rsidR="00BD2426">
        <w:t xml:space="preserve"> – </w:t>
      </w:r>
      <w:proofErr w:type="spellStart"/>
      <w:r w:rsidR="00BD2426">
        <w:t>ps</w:t>
      </w:r>
      <w:proofErr w:type="spellEnd"/>
      <w:r w:rsidR="00BD2426">
        <w:t xml:space="preserve"> 51-52</w:t>
      </w:r>
      <w:r w:rsidR="00230A53">
        <w:t>.</w:t>
      </w:r>
    </w:p>
  </w:footnote>
  <w:footnote w:id="30">
    <w:p w14:paraId="7DA60B57" w14:textId="7E078CE6" w:rsidR="002A480A" w:rsidRDefault="002A480A">
      <w:pPr>
        <w:pStyle w:val="FootnoteText"/>
      </w:pPr>
      <w:r>
        <w:rPr>
          <w:rStyle w:val="FootnoteReference"/>
        </w:rPr>
        <w:footnoteRef/>
      </w:r>
      <w:r>
        <w:t xml:space="preserve"> </w:t>
      </w:r>
      <w:hyperlink r:id="rId22" w:history="1">
        <w:r w:rsidR="00D2690B" w:rsidRPr="00BE39ED">
          <w:rPr>
            <w:rStyle w:val="Hyperlink"/>
          </w:rPr>
          <w:t>https://www.budgeting.ie/download/pdf/mesl_2024_-_update_report.pdf</w:t>
        </w:r>
      </w:hyperlink>
      <w:r w:rsidR="00D2690B">
        <w:t xml:space="preserve"> p vii. </w:t>
      </w:r>
    </w:p>
  </w:footnote>
  <w:footnote w:id="31">
    <w:p w14:paraId="38D8BE44" w14:textId="77777777" w:rsidR="00396DC0" w:rsidRDefault="00396DC0" w:rsidP="00396DC0">
      <w:pPr>
        <w:pStyle w:val="FootnoteText"/>
      </w:pPr>
      <w:r>
        <w:rPr>
          <w:rStyle w:val="FootnoteReference"/>
        </w:rPr>
        <w:footnoteRef/>
      </w:r>
      <w:r>
        <w:t xml:space="preserve"> </w:t>
      </w:r>
      <w:hyperlink r:id="rId23" w:history="1">
        <w:r w:rsidRPr="00BE39ED">
          <w:rPr>
            <w:rStyle w:val="Hyperlink"/>
          </w:rPr>
          <w:t>https://www.budgeting.ie/download/pdf/mesl_pre-budget_submission_2025.pdf</w:t>
        </w:r>
      </w:hyperlink>
      <w:r>
        <w:t xml:space="preserve"> </w:t>
      </w:r>
    </w:p>
  </w:footnote>
  <w:footnote w:id="32">
    <w:p w14:paraId="19A76D2F" w14:textId="77777777" w:rsidR="002A5D96" w:rsidRDefault="002A5D96" w:rsidP="002A5D96">
      <w:pPr>
        <w:pStyle w:val="FootnoteText"/>
      </w:pPr>
      <w:r>
        <w:rPr>
          <w:rStyle w:val="FootnoteReference"/>
        </w:rPr>
        <w:footnoteRef/>
      </w:r>
      <w:r>
        <w:t xml:space="preserve"> </w:t>
      </w:r>
      <w:hyperlink r:id="rId24" w:history="1">
        <w:r w:rsidRPr="00AC2CE3">
          <w:rPr>
            <w:rStyle w:val="Hyperlink"/>
          </w:rPr>
          <w:t>https://visual.cso.ie/?body=entity/cpicalculator</w:t>
        </w:r>
      </w:hyperlink>
      <w:r>
        <w:t xml:space="preserve"> </w:t>
      </w:r>
    </w:p>
  </w:footnote>
  <w:footnote w:id="33">
    <w:p w14:paraId="616F43BE" w14:textId="71526F67" w:rsidR="00832FAE" w:rsidRPr="00D55BB5" w:rsidRDefault="00832FAE" w:rsidP="00832FAE">
      <w:pPr>
        <w:pStyle w:val="FootnoteText"/>
        <w:rPr>
          <w:lang w:val="en-GB"/>
        </w:rPr>
      </w:pPr>
      <w:r>
        <w:rPr>
          <w:rStyle w:val="FootnoteReference"/>
        </w:rPr>
        <w:footnoteRef/>
      </w:r>
      <w:r>
        <w:t xml:space="preserve"> </w:t>
      </w:r>
      <w:r>
        <w:rPr>
          <w:lang w:val="en-GB"/>
        </w:rPr>
        <w:t>See Appendix 3, page 51, footnote 68</w:t>
      </w:r>
      <w:r w:rsidR="00B5653D">
        <w:rPr>
          <w:lang w:val="en-GB"/>
        </w:rPr>
        <w:t xml:space="preserve"> of </w:t>
      </w:r>
      <w:hyperlink r:id="rId25" w:history="1">
        <w:r w:rsidR="00B5653D" w:rsidRPr="00230A53">
          <w:rPr>
            <w:rStyle w:val="Hyperlink"/>
          </w:rPr>
          <w:t>DFI’s Green Paper submission</w:t>
        </w:r>
      </w:hyperlink>
      <w:r w:rsidR="00B5653D">
        <w:t xml:space="preserve"> </w:t>
      </w:r>
      <w:r w:rsidR="00B5653D">
        <w:rPr>
          <w:lang w:val="en-GB"/>
        </w:rPr>
        <w:t>for details</w:t>
      </w:r>
      <w:r>
        <w:rPr>
          <w:lang w:val="en-GB"/>
        </w:rPr>
        <w:t xml:space="preserve">.  </w:t>
      </w:r>
    </w:p>
  </w:footnote>
  <w:footnote w:id="34">
    <w:p w14:paraId="690A1811" w14:textId="77777777" w:rsidR="00510E6F" w:rsidRPr="00895DD4" w:rsidRDefault="00510E6F" w:rsidP="00510E6F">
      <w:pPr>
        <w:pStyle w:val="FootnoteText"/>
        <w:rPr>
          <w:lang w:val="en-GB"/>
        </w:rPr>
      </w:pPr>
      <w:r>
        <w:rPr>
          <w:rStyle w:val="FootnoteReference"/>
        </w:rPr>
        <w:footnoteRef/>
      </w:r>
      <w:r>
        <w:t xml:space="preserve"> </w:t>
      </w:r>
      <w:hyperlink r:id="rId26" w:history="1">
        <w:r w:rsidRPr="00BE39ED">
          <w:rPr>
            <w:rStyle w:val="Hyperlink"/>
          </w:rPr>
          <w:t>https://economy-finance.ec.europa.eu/document/download/9f14e528-de10-41aa-8b4d-01c5848784c8_en?filename=SWD_2024_607_1_EN_Ireland.pdf</w:t>
        </w:r>
      </w:hyperlink>
      <w:r>
        <w:t xml:space="preserve"> p.65</w:t>
      </w:r>
    </w:p>
  </w:footnote>
  <w:footnote w:id="35">
    <w:p w14:paraId="6F3CC867" w14:textId="77777777" w:rsidR="00326A6A" w:rsidRDefault="00326A6A" w:rsidP="00326A6A">
      <w:pPr>
        <w:pStyle w:val="FootnoteText"/>
      </w:pPr>
      <w:r>
        <w:rPr>
          <w:rStyle w:val="FootnoteReference"/>
        </w:rPr>
        <w:footnoteRef/>
      </w:r>
      <w:r>
        <w:t xml:space="preserve"> </w:t>
      </w:r>
      <w:hyperlink r:id="rId27" w:history="1">
        <w:r w:rsidRPr="00D047B5">
          <w:rPr>
            <w:rStyle w:val="Hyperlink"/>
          </w:rPr>
          <w:t>https://www.eapn.ie/wp-content/uploads/2024/04/EAPN_Briefing_2023_Income_Poverty_Data.pdf</w:t>
        </w:r>
      </w:hyperlink>
      <w:r>
        <w:t xml:space="preserve"> </w:t>
      </w:r>
    </w:p>
  </w:footnote>
  <w:footnote w:id="36">
    <w:p w14:paraId="11B6F4B1" w14:textId="31444F4B" w:rsidR="00485B38" w:rsidRDefault="00485B38" w:rsidP="00485B38">
      <w:pPr>
        <w:pStyle w:val="FootnoteText"/>
      </w:pPr>
      <w:r>
        <w:rPr>
          <w:rStyle w:val="FootnoteReference"/>
        </w:rPr>
        <w:footnoteRef/>
      </w:r>
      <w:r>
        <w:t xml:space="preserve"> “In the second half of 2023, Ireland had the highest electricity prices for household consumers in the EU, and these remain high”</w:t>
      </w:r>
      <w:r w:rsidR="00FD1E63" w:rsidRPr="00FD1E63">
        <w:t xml:space="preserve"> </w:t>
      </w:r>
      <w:hyperlink r:id="rId28" w:history="1">
        <w:r w:rsidR="00FD1E63" w:rsidRPr="008E148E">
          <w:rPr>
            <w:rStyle w:val="Hyperlink"/>
          </w:rPr>
          <w:t>https://commission.europa.eu/document/download/0b937573-bf5a-4b4c-8160-aa88f472527a_en?filename=com_2024_607_1_en.pdf</w:t>
        </w:r>
      </w:hyperlink>
      <w:r w:rsidR="00FD1E63">
        <w:t xml:space="preserve">, p6. </w:t>
      </w:r>
      <w:r>
        <w:t xml:space="preserve"> </w:t>
      </w:r>
    </w:p>
  </w:footnote>
  <w:footnote w:id="37">
    <w:p w14:paraId="5FE9E881" w14:textId="77777777" w:rsidR="00861F07" w:rsidRDefault="00861F07" w:rsidP="00861F07">
      <w:pPr>
        <w:pStyle w:val="FootnoteText"/>
      </w:pPr>
      <w:r>
        <w:rPr>
          <w:rStyle w:val="FootnoteReference"/>
        </w:rPr>
        <w:footnoteRef/>
      </w:r>
      <w:r>
        <w:t xml:space="preserve"> </w:t>
      </w:r>
      <w:hyperlink r:id="rId29" w:anchor="Overall_price_levels" w:history="1">
        <w:r w:rsidRPr="00096C30">
          <w:rPr>
            <w:rStyle w:val="Hyperlink"/>
          </w:rPr>
          <w:t>https://ec.europa.eu/eurostat/statistics-explained/index.php?title=Comparative_price_levels_of_consumer_goods_and_services#Overall_price_levels</w:t>
        </w:r>
      </w:hyperlink>
    </w:p>
  </w:footnote>
  <w:footnote w:id="38">
    <w:p w14:paraId="3E60D83D" w14:textId="230C5305" w:rsidR="00DB7478" w:rsidRDefault="00DB7478">
      <w:pPr>
        <w:pStyle w:val="FootnoteText"/>
      </w:pPr>
      <w:r>
        <w:rPr>
          <w:rStyle w:val="FootnoteReference"/>
        </w:rPr>
        <w:footnoteRef/>
      </w:r>
      <w:r>
        <w:t xml:space="preserve"> </w:t>
      </w:r>
      <w:r w:rsidR="0069547D">
        <w:t xml:space="preserve">See </w:t>
      </w:r>
      <w:proofErr w:type="spellStart"/>
      <w:r w:rsidR="0069547D">
        <w:t>ps</w:t>
      </w:r>
      <w:proofErr w:type="spellEnd"/>
      <w:r w:rsidR="0069547D">
        <w:t xml:space="preserve"> 17-19 </w:t>
      </w:r>
      <w:hyperlink r:id="rId30" w:history="1">
        <w:r w:rsidR="0069547D" w:rsidRPr="00BE39ED">
          <w:rPr>
            <w:rStyle w:val="Hyperlink"/>
          </w:rPr>
          <w:t>https://www.disability-federation.ie/publications/dfis-pre-budget-submission-2024-to-the-dsp/</w:t>
        </w:r>
      </w:hyperlink>
      <w:r w:rsidR="0069547D">
        <w:t xml:space="preserve"> </w:t>
      </w:r>
    </w:p>
  </w:footnote>
  <w:footnote w:id="39">
    <w:p w14:paraId="532F7A35" w14:textId="1FF6269B" w:rsidR="00E44957" w:rsidRDefault="00E44957">
      <w:pPr>
        <w:pStyle w:val="FootnoteText"/>
      </w:pPr>
      <w:r>
        <w:rPr>
          <w:rStyle w:val="FootnoteReference"/>
        </w:rPr>
        <w:footnoteRef/>
      </w:r>
      <w:r>
        <w:t xml:space="preserve"> </w:t>
      </w:r>
      <w:hyperlink r:id="rId31" w:history="1">
        <w:r w:rsidR="00BF0E4C" w:rsidRPr="00D30848">
          <w:rPr>
            <w:rStyle w:val="Hyperlink"/>
          </w:rPr>
          <w:t>https://www.esri.ie/system/files/publications/RS183_1.pdf</w:t>
        </w:r>
      </w:hyperlink>
      <w:r w:rsidR="00BF0E4C">
        <w:t xml:space="preserve"> p.</w:t>
      </w:r>
      <w:r w:rsidR="00F72C12">
        <w:t xml:space="preserve"> vi</w:t>
      </w:r>
      <w:r w:rsidR="00D57B13">
        <w:t>.</w:t>
      </w:r>
    </w:p>
  </w:footnote>
  <w:footnote w:id="40">
    <w:p w14:paraId="61026C43" w14:textId="4133D5DC" w:rsidR="0017681C" w:rsidRDefault="0017681C">
      <w:pPr>
        <w:pStyle w:val="FootnoteText"/>
      </w:pPr>
      <w:r>
        <w:rPr>
          <w:rStyle w:val="FootnoteReference"/>
        </w:rPr>
        <w:footnoteRef/>
      </w:r>
      <w:r>
        <w:t xml:space="preserve"> </w:t>
      </w:r>
      <w:hyperlink r:id="rId32" w:history="1">
        <w:r w:rsidR="00D57B13" w:rsidRPr="00D30848">
          <w:rPr>
            <w:rStyle w:val="Hyperlink"/>
          </w:rPr>
          <w:t>https://www.esri.ie/system/files/publications/RS183_1.pdf</w:t>
        </w:r>
      </w:hyperlink>
      <w:r w:rsidR="00D57B13">
        <w:t>, p/41.</w:t>
      </w:r>
    </w:p>
  </w:footnote>
  <w:footnote w:id="41">
    <w:p w14:paraId="129D0354" w14:textId="6884286C" w:rsidR="00627F26" w:rsidRDefault="00627F26">
      <w:pPr>
        <w:pStyle w:val="FootnoteText"/>
      </w:pPr>
      <w:r>
        <w:rPr>
          <w:rStyle w:val="FootnoteReference"/>
        </w:rPr>
        <w:footnoteRef/>
      </w:r>
      <w:r>
        <w:t xml:space="preserve"> </w:t>
      </w:r>
      <w:hyperlink r:id="rId33" w:history="1">
        <w:r w:rsidR="0051415F" w:rsidRPr="00D30848">
          <w:rPr>
            <w:rStyle w:val="Hyperlink"/>
          </w:rPr>
          <w:t>https://www.esri.ie/system/files/publications/QEC2023WIN_SA_Doorley_2.pdf</w:t>
        </w:r>
      </w:hyperlink>
      <w:r w:rsidR="008E38BB">
        <w:t>, p.14.</w:t>
      </w:r>
    </w:p>
  </w:footnote>
  <w:footnote w:id="42">
    <w:p w14:paraId="59C6BC8A" w14:textId="43F325B4" w:rsidR="0051415F" w:rsidRDefault="0051415F">
      <w:pPr>
        <w:pStyle w:val="FootnoteText"/>
      </w:pPr>
      <w:r>
        <w:rPr>
          <w:rStyle w:val="FootnoteReference"/>
        </w:rPr>
        <w:footnoteRef/>
      </w:r>
      <w:r>
        <w:t xml:space="preserve"> Op </w:t>
      </w:r>
      <w:proofErr w:type="spellStart"/>
      <w:r>
        <w:t>cit</w:t>
      </w:r>
      <w:proofErr w:type="spellEnd"/>
      <w:r>
        <w:t>, p.</w:t>
      </w:r>
      <w:r w:rsidR="00980824">
        <w:t xml:space="preserve"> 1.</w:t>
      </w:r>
    </w:p>
  </w:footnote>
  <w:footnote w:id="43">
    <w:p w14:paraId="1994E28B" w14:textId="77777777" w:rsidR="00AF391B" w:rsidRDefault="00AF391B" w:rsidP="00AF391B">
      <w:pPr>
        <w:pStyle w:val="FootnoteText"/>
      </w:pPr>
      <w:r>
        <w:rPr>
          <w:rStyle w:val="FootnoteReference"/>
        </w:rPr>
        <w:footnoteRef/>
      </w:r>
      <w:r>
        <w:t xml:space="preserve"> </w:t>
      </w:r>
      <w:hyperlink r:id="rId34" w:history="1">
        <w:r w:rsidRPr="00BE39ED">
          <w:rPr>
            <w:rStyle w:val="Hyperlink"/>
          </w:rPr>
          <w:t>https://www.esri.ie/system/files/publications/JR1_1.pdf</w:t>
        </w:r>
      </w:hyperlink>
      <w:r>
        <w:t xml:space="preserve">, </w:t>
      </w:r>
      <w:proofErr w:type="spellStart"/>
      <w:r>
        <w:t>pviii</w:t>
      </w:r>
      <w:proofErr w:type="spellEnd"/>
      <w:r>
        <w:t xml:space="preserve"> – ix. </w:t>
      </w:r>
    </w:p>
  </w:footnote>
  <w:footnote w:id="44">
    <w:p w14:paraId="7FC3AC15" w14:textId="77777777" w:rsidR="00AF391B" w:rsidRDefault="00AF391B" w:rsidP="00AF391B">
      <w:pPr>
        <w:pStyle w:val="FootnoteText"/>
      </w:pPr>
      <w:r>
        <w:rPr>
          <w:rStyle w:val="FootnoteReference"/>
        </w:rPr>
        <w:footnoteRef/>
      </w:r>
      <w:r>
        <w:t xml:space="preserve"> </w:t>
      </w:r>
      <w:hyperlink r:id="rId35" w:history="1">
        <w:r w:rsidRPr="00BE39ED">
          <w:rPr>
            <w:rStyle w:val="Hyperlink"/>
          </w:rPr>
          <w:t>https://www.esri.ie/system/files/publications/JR1_1.pdf</w:t>
        </w:r>
      </w:hyperlink>
      <w:r>
        <w:t>, p.26.</w:t>
      </w:r>
    </w:p>
  </w:footnote>
  <w:footnote w:id="45">
    <w:p w14:paraId="19F25510" w14:textId="77777777" w:rsidR="007542EB" w:rsidRDefault="007542EB" w:rsidP="007542EB">
      <w:pPr>
        <w:pStyle w:val="FootnoteText"/>
      </w:pPr>
      <w:r>
        <w:rPr>
          <w:rStyle w:val="FootnoteReference"/>
        </w:rPr>
        <w:footnoteRef/>
      </w:r>
      <w:r>
        <w:t xml:space="preserve"> See </w:t>
      </w:r>
      <w:hyperlink r:id="rId36" w:history="1">
        <w:r w:rsidRPr="00D30848">
          <w:rPr>
            <w:rStyle w:val="Hyperlink"/>
          </w:rPr>
          <w:t>https://www.disability-federation.ie/news/latest/2024/04/19/summary-of-the-concluding-observations-on-irelands/</w:t>
        </w:r>
      </w:hyperlink>
      <w:r>
        <w:t xml:space="preserve"> and </w:t>
      </w:r>
      <w:hyperlink r:id="rId37" w:history="1">
        <w:r w:rsidRPr="00D30848">
          <w:rPr>
            <w:rStyle w:val="Hyperlink"/>
          </w:rPr>
          <w:t>https://tbinternet.ohchr.org/_layouts/15/treatybodyexternal/Download.aspx?symbolno=E%2FC.12%2FIRL%2FCO%2F4&amp;Lang=en</w:t>
        </w:r>
      </w:hyperlink>
      <w:r>
        <w:t xml:space="preserve"> for the official text of the Committee’s recommendation. </w:t>
      </w:r>
    </w:p>
  </w:footnote>
  <w:footnote w:id="46">
    <w:p w14:paraId="49AC1936" w14:textId="1B2A741B" w:rsidR="009C2C53" w:rsidRDefault="009C2C53" w:rsidP="009C2C53">
      <w:pPr>
        <w:pStyle w:val="FootnoteText"/>
      </w:pPr>
      <w:r>
        <w:rPr>
          <w:rStyle w:val="FootnoteReference"/>
        </w:rPr>
        <w:footnoteRef/>
      </w:r>
      <w:r>
        <w:t xml:space="preserve"> </w:t>
      </w:r>
      <w:hyperlink r:id="rId38" w:history="1">
        <w:r w:rsidRPr="00C31B57">
          <w:rPr>
            <w:rStyle w:val="Hyperlink"/>
          </w:rPr>
          <w:t>https://www.ihrec.ie/app/uploads/2023/02/Policy-Statement-on-the-Index-Linking-of-Welfare-Payments-Welfare-Indexation.pdf</w:t>
        </w:r>
      </w:hyperlink>
      <w:r w:rsidR="00EB5849">
        <w:rPr>
          <w:rStyle w:val="Hyperlink"/>
        </w:rPr>
        <w:t xml:space="preserve">, </w:t>
      </w:r>
      <w:hyperlink r:id="rId39" w:history="1">
        <w:r w:rsidR="00EB5849" w:rsidRPr="00096C30">
          <w:rPr>
            <w:rStyle w:val="Hyperlink"/>
          </w:rPr>
          <w:t>https://www.socialjustice.ie/system/files/file-uploads/2023-05/2023-05-29%20-%20Budget%202024%20Benchmarking%20and%20Indexation%20Final%20WEB.pdf</w:t>
        </w:r>
      </w:hyperlink>
      <w:r w:rsidR="00EB5849">
        <w:t xml:space="preserve">, </w:t>
      </w:r>
      <w:hyperlink r:id="rId40" w:history="1">
        <w:r w:rsidR="00EB5849" w:rsidRPr="00096C30">
          <w:rPr>
            <w:rStyle w:val="Hyperlink"/>
          </w:rPr>
          <w:t>https://www.eapn.ie/wp-content/uploads/2023/06/EAPN-Ireland-input_Benchmarking-Working-Age-Payments_Final.pdf</w:t>
        </w:r>
      </w:hyperlink>
    </w:p>
  </w:footnote>
  <w:footnote w:id="47">
    <w:p w14:paraId="30F49BFA" w14:textId="77777777" w:rsidR="0076219B" w:rsidRDefault="0076219B" w:rsidP="0076219B">
      <w:pPr>
        <w:pStyle w:val="FootnoteText"/>
      </w:pPr>
      <w:r>
        <w:rPr>
          <w:rStyle w:val="FootnoteReference"/>
        </w:rPr>
        <w:footnoteRef/>
      </w:r>
      <w:r>
        <w:t xml:space="preserve"> </w:t>
      </w:r>
      <w:hyperlink r:id="rId41" w:history="1">
        <w:r w:rsidRPr="00096C30">
          <w:rPr>
            <w:rStyle w:val="Hyperlink"/>
          </w:rPr>
          <w:t>https://www.esri.ie/system/files/publications/QEC2022WIN_SA_DOOLAN.pdf</w:t>
        </w:r>
      </w:hyperlink>
      <w:r>
        <w:t xml:space="preserve">, p.18. </w:t>
      </w:r>
    </w:p>
  </w:footnote>
  <w:footnote w:id="48">
    <w:p w14:paraId="39FA5036" w14:textId="6964FE06" w:rsidR="00B0188C" w:rsidRPr="00B0188C" w:rsidRDefault="00B0188C">
      <w:pPr>
        <w:pStyle w:val="FootnoteText"/>
        <w:rPr>
          <w:lang w:val="en-GB"/>
        </w:rPr>
      </w:pPr>
      <w:r>
        <w:rPr>
          <w:rStyle w:val="FootnoteReference"/>
        </w:rPr>
        <w:footnoteRef/>
      </w:r>
      <w:r>
        <w:t xml:space="preserve"> </w:t>
      </w:r>
      <w:r w:rsidR="00CE23C8">
        <w:t>Department of Social Protection Reponses to “Written Requests for Information in advance of the June DSP Bilateral with C &amp;V Pillar”, June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87320" w14:textId="77777777" w:rsidR="00495CC6" w:rsidRDefault="00495C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A476F" w14:textId="77777777" w:rsidR="00495CC6" w:rsidRDefault="00495C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F9D73" w14:textId="77777777" w:rsidR="00495CC6" w:rsidRDefault="00495C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92BEF"/>
    <w:multiLevelType w:val="hybridMultilevel"/>
    <w:tmpl w:val="3878C3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1EC3801"/>
    <w:multiLevelType w:val="hybridMultilevel"/>
    <w:tmpl w:val="78F83AC4"/>
    <w:lvl w:ilvl="0" w:tplc="1809000F">
      <w:start w:val="1"/>
      <w:numFmt w:val="decimal"/>
      <w:lvlText w:val="%1."/>
      <w:lvlJc w:val="left"/>
      <w:pPr>
        <w:ind w:left="1077" w:hanging="360"/>
      </w:pPr>
    </w:lvl>
    <w:lvl w:ilvl="1" w:tplc="18090019" w:tentative="1">
      <w:start w:val="1"/>
      <w:numFmt w:val="lowerLetter"/>
      <w:lvlText w:val="%2."/>
      <w:lvlJc w:val="left"/>
      <w:pPr>
        <w:ind w:left="1797" w:hanging="360"/>
      </w:pPr>
    </w:lvl>
    <w:lvl w:ilvl="2" w:tplc="1809001B" w:tentative="1">
      <w:start w:val="1"/>
      <w:numFmt w:val="lowerRoman"/>
      <w:lvlText w:val="%3."/>
      <w:lvlJc w:val="right"/>
      <w:pPr>
        <w:ind w:left="2517" w:hanging="180"/>
      </w:pPr>
    </w:lvl>
    <w:lvl w:ilvl="3" w:tplc="1809000F" w:tentative="1">
      <w:start w:val="1"/>
      <w:numFmt w:val="decimal"/>
      <w:lvlText w:val="%4."/>
      <w:lvlJc w:val="left"/>
      <w:pPr>
        <w:ind w:left="3237" w:hanging="360"/>
      </w:pPr>
    </w:lvl>
    <w:lvl w:ilvl="4" w:tplc="18090019" w:tentative="1">
      <w:start w:val="1"/>
      <w:numFmt w:val="lowerLetter"/>
      <w:lvlText w:val="%5."/>
      <w:lvlJc w:val="left"/>
      <w:pPr>
        <w:ind w:left="3957" w:hanging="360"/>
      </w:pPr>
    </w:lvl>
    <w:lvl w:ilvl="5" w:tplc="1809001B" w:tentative="1">
      <w:start w:val="1"/>
      <w:numFmt w:val="lowerRoman"/>
      <w:lvlText w:val="%6."/>
      <w:lvlJc w:val="right"/>
      <w:pPr>
        <w:ind w:left="4677" w:hanging="180"/>
      </w:pPr>
    </w:lvl>
    <w:lvl w:ilvl="6" w:tplc="1809000F" w:tentative="1">
      <w:start w:val="1"/>
      <w:numFmt w:val="decimal"/>
      <w:lvlText w:val="%7."/>
      <w:lvlJc w:val="left"/>
      <w:pPr>
        <w:ind w:left="5397" w:hanging="360"/>
      </w:pPr>
    </w:lvl>
    <w:lvl w:ilvl="7" w:tplc="18090019" w:tentative="1">
      <w:start w:val="1"/>
      <w:numFmt w:val="lowerLetter"/>
      <w:lvlText w:val="%8."/>
      <w:lvlJc w:val="left"/>
      <w:pPr>
        <w:ind w:left="6117" w:hanging="360"/>
      </w:pPr>
    </w:lvl>
    <w:lvl w:ilvl="8" w:tplc="1809001B" w:tentative="1">
      <w:start w:val="1"/>
      <w:numFmt w:val="lowerRoman"/>
      <w:lvlText w:val="%9."/>
      <w:lvlJc w:val="right"/>
      <w:pPr>
        <w:ind w:left="6837" w:hanging="180"/>
      </w:pPr>
    </w:lvl>
  </w:abstractNum>
  <w:abstractNum w:abstractNumId="2" w15:restartNumberingAfterBreak="0">
    <w:nsid w:val="145C3B86"/>
    <w:multiLevelType w:val="hybridMultilevel"/>
    <w:tmpl w:val="7F1614E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6E603F"/>
    <w:multiLevelType w:val="hybridMultilevel"/>
    <w:tmpl w:val="37C285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D81099C"/>
    <w:multiLevelType w:val="hybridMultilevel"/>
    <w:tmpl w:val="9C90AD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E57260D"/>
    <w:multiLevelType w:val="hybridMultilevel"/>
    <w:tmpl w:val="EFD203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EC518D6"/>
    <w:multiLevelType w:val="hybridMultilevel"/>
    <w:tmpl w:val="FA4CE670"/>
    <w:lvl w:ilvl="0" w:tplc="18090017">
      <w:start w:val="1"/>
      <w:numFmt w:val="lowerLetter"/>
      <w:lvlText w:val="%1)"/>
      <w:lvlJc w:val="left"/>
      <w:pPr>
        <w:ind w:left="1077" w:hanging="360"/>
      </w:pPr>
    </w:lvl>
    <w:lvl w:ilvl="1" w:tplc="18090019" w:tentative="1">
      <w:start w:val="1"/>
      <w:numFmt w:val="lowerLetter"/>
      <w:lvlText w:val="%2."/>
      <w:lvlJc w:val="left"/>
      <w:pPr>
        <w:ind w:left="1797" w:hanging="360"/>
      </w:pPr>
    </w:lvl>
    <w:lvl w:ilvl="2" w:tplc="1809001B" w:tentative="1">
      <w:start w:val="1"/>
      <w:numFmt w:val="lowerRoman"/>
      <w:lvlText w:val="%3."/>
      <w:lvlJc w:val="right"/>
      <w:pPr>
        <w:ind w:left="2517" w:hanging="180"/>
      </w:pPr>
    </w:lvl>
    <w:lvl w:ilvl="3" w:tplc="1809000F" w:tentative="1">
      <w:start w:val="1"/>
      <w:numFmt w:val="decimal"/>
      <w:lvlText w:val="%4."/>
      <w:lvlJc w:val="left"/>
      <w:pPr>
        <w:ind w:left="3237" w:hanging="360"/>
      </w:pPr>
    </w:lvl>
    <w:lvl w:ilvl="4" w:tplc="18090019" w:tentative="1">
      <w:start w:val="1"/>
      <w:numFmt w:val="lowerLetter"/>
      <w:lvlText w:val="%5."/>
      <w:lvlJc w:val="left"/>
      <w:pPr>
        <w:ind w:left="3957" w:hanging="360"/>
      </w:pPr>
    </w:lvl>
    <w:lvl w:ilvl="5" w:tplc="1809001B" w:tentative="1">
      <w:start w:val="1"/>
      <w:numFmt w:val="lowerRoman"/>
      <w:lvlText w:val="%6."/>
      <w:lvlJc w:val="right"/>
      <w:pPr>
        <w:ind w:left="4677" w:hanging="180"/>
      </w:pPr>
    </w:lvl>
    <w:lvl w:ilvl="6" w:tplc="1809000F" w:tentative="1">
      <w:start w:val="1"/>
      <w:numFmt w:val="decimal"/>
      <w:lvlText w:val="%7."/>
      <w:lvlJc w:val="left"/>
      <w:pPr>
        <w:ind w:left="5397" w:hanging="360"/>
      </w:pPr>
    </w:lvl>
    <w:lvl w:ilvl="7" w:tplc="18090019" w:tentative="1">
      <w:start w:val="1"/>
      <w:numFmt w:val="lowerLetter"/>
      <w:lvlText w:val="%8."/>
      <w:lvlJc w:val="left"/>
      <w:pPr>
        <w:ind w:left="6117" w:hanging="360"/>
      </w:pPr>
    </w:lvl>
    <w:lvl w:ilvl="8" w:tplc="1809001B" w:tentative="1">
      <w:start w:val="1"/>
      <w:numFmt w:val="lowerRoman"/>
      <w:lvlText w:val="%9."/>
      <w:lvlJc w:val="right"/>
      <w:pPr>
        <w:ind w:left="6837" w:hanging="180"/>
      </w:pPr>
    </w:lvl>
  </w:abstractNum>
  <w:abstractNum w:abstractNumId="7" w15:restartNumberingAfterBreak="0">
    <w:nsid w:val="1F9E28BC"/>
    <w:multiLevelType w:val="hybridMultilevel"/>
    <w:tmpl w:val="F91E83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16847E6"/>
    <w:multiLevelType w:val="hybridMultilevel"/>
    <w:tmpl w:val="0936C5D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5BC44E2"/>
    <w:multiLevelType w:val="hybridMultilevel"/>
    <w:tmpl w:val="B088F7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AA81E32"/>
    <w:multiLevelType w:val="hybridMultilevel"/>
    <w:tmpl w:val="A70855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B1D2E57"/>
    <w:multiLevelType w:val="hybridMultilevel"/>
    <w:tmpl w:val="DCB8171C"/>
    <w:lvl w:ilvl="0" w:tplc="05305ED6">
      <w:start w:val="1"/>
      <w:numFmt w:val="bullet"/>
      <w:lvlText w:val="•"/>
      <w:lvlJc w:val="left"/>
      <w:pPr>
        <w:tabs>
          <w:tab w:val="num" w:pos="720"/>
        </w:tabs>
        <w:ind w:left="720" w:hanging="360"/>
      </w:pPr>
      <w:rPr>
        <w:rFonts w:ascii="Arial" w:hAnsi="Arial" w:hint="default"/>
      </w:rPr>
    </w:lvl>
    <w:lvl w:ilvl="1" w:tplc="9668BCAA" w:tentative="1">
      <w:start w:val="1"/>
      <w:numFmt w:val="bullet"/>
      <w:lvlText w:val="•"/>
      <w:lvlJc w:val="left"/>
      <w:pPr>
        <w:tabs>
          <w:tab w:val="num" w:pos="1440"/>
        </w:tabs>
        <w:ind w:left="1440" w:hanging="360"/>
      </w:pPr>
      <w:rPr>
        <w:rFonts w:ascii="Arial" w:hAnsi="Arial" w:hint="default"/>
      </w:rPr>
    </w:lvl>
    <w:lvl w:ilvl="2" w:tplc="6F28BD06" w:tentative="1">
      <w:start w:val="1"/>
      <w:numFmt w:val="bullet"/>
      <w:lvlText w:val="•"/>
      <w:lvlJc w:val="left"/>
      <w:pPr>
        <w:tabs>
          <w:tab w:val="num" w:pos="2160"/>
        </w:tabs>
        <w:ind w:left="2160" w:hanging="360"/>
      </w:pPr>
      <w:rPr>
        <w:rFonts w:ascii="Arial" w:hAnsi="Arial" w:hint="default"/>
      </w:rPr>
    </w:lvl>
    <w:lvl w:ilvl="3" w:tplc="027EFAD2" w:tentative="1">
      <w:start w:val="1"/>
      <w:numFmt w:val="bullet"/>
      <w:lvlText w:val="•"/>
      <w:lvlJc w:val="left"/>
      <w:pPr>
        <w:tabs>
          <w:tab w:val="num" w:pos="2880"/>
        </w:tabs>
        <w:ind w:left="2880" w:hanging="360"/>
      </w:pPr>
      <w:rPr>
        <w:rFonts w:ascii="Arial" w:hAnsi="Arial" w:hint="default"/>
      </w:rPr>
    </w:lvl>
    <w:lvl w:ilvl="4" w:tplc="11A43C06" w:tentative="1">
      <w:start w:val="1"/>
      <w:numFmt w:val="bullet"/>
      <w:lvlText w:val="•"/>
      <w:lvlJc w:val="left"/>
      <w:pPr>
        <w:tabs>
          <w:tab w:val="num" w:pos="3600"/>
        </w:tabs>
        <w:ind w:left="3600" w:hanging="360"/>
      </w:pPr>
      <w:rPr>
        <w:rFonts w:ascii="Arial" w:hAnsi="Arial" w:hint="default"/>
      </w:rPr>
    </w:lvl>
    <w:lvl w:ilvl="5" w:tplc="10062874" w:tentative="1">
      <w:start w:val="1"/>
      <w:numFmt w:val="bullet"/>
      <w:lvlText w:val="•"/>
      <w:lvlJc w:val="left"/>
      <w:pPr>
        <w:tabs>
          <w:tab w:val="num" w:pos="4320"/>
        </w:tabs>
        <w:ind w:left="4320" w:hanging="360"/>
      </w:pPr>
      <w:rPr>
        <w:rFonts w:ascii="Arial" w:hAnsi="Arial" w:hint="default"/>
      </w:rPr>
    </w:lvl>
    <w:lvl w:ilvl="6" w:tplc="597AF6A8" w:tentative="1">
      <w:start w:val="1"/>
      <w:numFmt w:val="bullet"/>
      <w:lvlText w:val="•"/>
      <w:lvlJc w:val="left"/>
      <w:pPr>
        <w:tabs>
          <w:tab w:val="num" w:pos="5040"/>
        </w:tabs>
        <w:ind w:left="5040" w:hanging="360"/>
      </w:pPr>
      <w:rPr>
        <w:rFonts w:ascii="Arial" w:hAnsi="Arial" w:hint="default"/>
      </w:rPr>
    </w:lvl>
    <w:lvl w:ilvl="7" w:tplc="384E99F6" w:tentative="1">
      <w:start w:val="1"/>
      <w:numFmt w:val="bullet"/>
      <w:lvlText w:val="•"/>
      <w:lvlJc w:val="left"/>
      <w:pPr>
        <w:tabs>
          <w:tab w:val="num" w:pos="5760"/>
        </w:tabs>
        <w:ind w:left="5760" w:hanging="360"/>
      </w:pPr>
      <w:rPr>
        <w:rFonts w:ascii="Arial" w:hAnsi="Arial" w:hint="default"/>
      </w:rPr>
    </w:lvl>
    <w:lvl w:ilvl="8" w:tplc="0FCE9B5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F687072"/>
    <w:multiLevelType w:val="hybridMultilevel"/>
    <w:tmpl w:val="491620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1856A41"/>
    <w:multiLevelType w:val="hybridMultilevel"/>
    <w:tmpl w:val="1C9039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35E653A"/>
    <w:multiLevelType w:val="hybridMultilevel"/>
    <w:tmpl w:val="810898A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3F20500"/>
    <w:multiLevelType w:val="hybridMultilevel"/>
    <w:tmpl w:val="0EC84C6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B043646"/>
    <w:multiLevelType w:val="hybridMultilevel"/>
    <w:tmpl w:val="B2A29B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16F06BC"/>
    <w:multiLevelType w:val="hybridMultilevel"/>
    <w:tmpl w:val="0A6AF79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23817EF"/>
    <w:multiLevelType w:val="hybridMultilevel"/>
    <w:tmpl w:val="A98608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529047B"/>
    <w:multiLevelType w:val="hybridMultilevel"/>
    <w:tmpl w:val="0BA4EAA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4654422F"/>
    <w:multiLevelType w:val="hybridMultilevel"/>
    <w:tmpl w:val="6DA484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65606A6"/>
    <w:multiLevelType w:val="hybridMultilevel"/>
    <w:tmpl w:val="991C3F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9324199"/>
    <w:multiLevelType w:val="hybridMultilevel"/>
    <w:tmpl w:val="87E860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9FD3B73"/>
    <w:multiLevelType w:val="hybridMultilevel"/>
    <w:tmpl w:val="2E1647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ADB7050"/>
    <w:multiLevelType w:val="hybridMultilevel"/>
    <w:tmpl w:val="DECE194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C8130E4"/>
    <w:multiLevelType w:val="hybridMultilevel"/>
    <w:tmpl w:val="A3B003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CA04AB5"/>
    <w:multiLevelType w:val="hybridMultilevel"/>
    <w:tmpl w:val="8392F8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E474F4F"/>
    <w:multiLevelType w:val="hybridMultilevel"/>
    <w:tmpl w:val="8A72AB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D0C5BDE"/>
    <w:multiLevelType w:val="hybridMultilevel"/>
    <w:tmpl w:val="43A8FC7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33D5652"/>
    <w:multiLevelType w:val="hybridMultilevel"/>
    <w:tmpl w:val="91CCBF8C"/>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0" w15:restartNumberingAfterBreak="0">
    <w:nsid w:val="633E08B7"/>
    <w:multiLevelType w:val="hybridMultilevel"/>
    <w:tmpl w:val="F1DE59A8"/>
    <w:lvl w:ilvl="0" w:tplc="18090001">
      <w:start w:val="1"/>
      <w:numFmt w:val="bullet"/>
      <w:lvlText w:val=""/>
      <w:lvlJc w:val="left"/>
      <w:pPr>
        <w:ind w:left="810" w:hanging="360"/>
      </w:pPr>
      <w:rPr>
        <w:rFonts w:ascii="Symbol" w:hAnsi="Symbol" w:hint="default"/>
      </w:rPr>
    </w:lvl>
    <w:lvl w:ilvl="1" w:tplc="18090003" w:tentative="1">
      <w:start w:val="1"/>
      <w:numFmt w:val="bullet"/>
      <w:lvlText w:val="o"/>
      <w:lvlJc w:val="left"/>
      <w:pPr>
        <w:ind w:left="1530" w:hanging="360"/>
      </w:pPr>
      <w:rPr>
        <w:rFonts w:ascii="Courier New" w:hAnsi="Courier New" w:cs="Courier New" w:hint="default"/>
      </w:rPr>
    </w:lvl>
    <w:lvl w:ilvl="2" w:tplc="18090005" w:tentative="1">
      <w:start w:val="1"/>
      <w:numFmt w:val="bullet"/>
      <w:lvlText w:val=""/>
      <w:lvlJc w:val="left"/>
      <w:pPr>
        <w:ind w:left="2250" w:hanging="360"/>
      </w:pPr>
      <w:rPr>
        <w:rFonts w:ascii="Wingdings" w:hAnsi="Wingdings" w:hint="default"/>
      </w:rPr>
    </w:lvl>
    <w:lvl w:ilvl="3" w:tplc="18090001" w:tentative="1">
      <w:start w:val="1"/>
      <w:numFmt w:val="bullet"/>
      <w:lvlText w:val=""/>
      <w:lvlJc w:val="left"/>
      <w:pPr>
        <w:ind w:left="2970" w:hanging="360"/>
      </w:pPr>
      <w:rPr>
        <w:rFonts w:ascii="Symbol" w:hAnsi="Symbol" w:hint="default"/>
      </w:rPr>
    </w:lvl>
    <w:lvl w:ilvl="4" w:tplc="18090003" w:tentative="1">
      <w:start w:val="1"/>
      <w:numFmt w:val="bullet"/>
      <w:lvlText w:val="o"/>
      <w:lvlJc w:val="left"/>
      <w:pPr>
        <w:ind w:left="3690" w:hanging="360"/>
      </w:pPr>
      <w:rPr>
        <w:rFonts w:ascii="Courier New" w:hAnsi="Courier New" w:cs="Courier New" w:hint="default"/>
      </w:rPr>
    </w:lvl>
    <w:lvl w:ilvl="5" w:tplc="18090005" w:tentative="1">
      <w:start w:val="1"/>
      <w:numFmt w:val="bullet"/>
      <w:lvlText w:val=""/>
      <w:lvlJc w:val="left"/>
      <w:pPr>
        <w:ind w:left="4410" w:hanging="360"/>
      </w:pPr>
      <w:rPr>
        <w:rFonts w:ascii="Wingdings" w:hAnsi="Wingdings" w:hint="default"/>
      </w:rPr>
    </w:lvl>
    <w:lvl w:ilvl="6" w:tplc="18090001" w:tentative="1">
      <w:start w:val="1"/>
      <w:numFmt w:val="bullet"/>
      <w:lvlText w:val=""/>
      <w:lvlJc w:val="left"/>
      <w:pPr>
        <w:ind w:left="5130" w:hanging="360"/>
      </w:pPr>
      <w:rPr>
        <w:rFonts w:ascii="Symbol" w:hAnsi="Symbol" w:hint="default"/>
      </w:rPr>
    </w:lvl>
    <w:lvl w:ilvl="7" w:tplc="18090003" w:tentative="1">
      <w:start w:val="1"/>
      <w:numFmt w:val="bullet"/>
      <w:lvlText w:val="o"/>
      <w:lvlJc w:val="left"/>
      <w:pPr>
        <w:ind w:left="5850" w:hanging="360"/>
      </w:pPr>
      <w:rPr>
        <w:rFonts w:ascii="Courier New" w:hAnsi="Courier New" w:cs="Courier New" w:hint="default"/>
      </w:rPr>
    </w:lvl>
    <w:lvl w:ilvl="8" w:tplc="18090005" w:tentative="1">
      <w:start w:val="1"/>
      <w:numFmt w:val="bullet"/>
      <w:lvlText w:val=""/>
      <w:lvlJc w:val="left"/>
      <w:pPr>
        <w:ind w:left="6570" w:hanging="360"/>
      </w:pPr>
      <w:rPr>
        <w:rFonts w:ascii="Wingdings" w:hAnsi="Wingdings" w:hint="default"/>
      </w:rPr>
    </w:lvl>
  </w:abstractNum>
  <w:abstractNum w:abstractNumId="31" w15:restartNumberingAfterBreak="0">
    <w:nsid w:val="68A9737E"/>
    <w:multiLevelType w:val="hybridMultilevel"/>
    <w:tmpl w:val="88FA72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AB5003F"/>
    <w:multiLevelType w:val="hybridMultilevel"/>
    <w:tmpl w:val="5F2453E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EB02E84"/>
    <w:multiLevelType w:val="hybridMultilevel"/>
    <w:tmpl w:val="560A12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3387FBC"/>
    <w:multiLevelType w:val="hybridMultilevel"/>
    <w:tmpl w:val="2B4A14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6D22F27"/>
    <w:multiLevelType w:val="hybridMultilevel"/>
    <w:tmpl w:val="48962DC2"/>
    <w:lvl w:ilvl="0" w:tplc="DBCE0BBC">
      <w:start w:val="1"/>
      <w:numFmt w:val="bullet"/>
      <w:lvlText w:val="•"/>
      <w:lvlJc w:val="left"/>
      <w:pPr>
        <w:tabs>
          <w:tab w:val="num" w:pos="720"/>
        </w:tabs>
        <w:ind w:left="720" w:hanging="360"/>
      </w:pPr>
      <w:rPr>
        <w:rFonts w:ascii="Arial" w:hAnsi="Arial" w:hint="default"/>
      </w:rPr>
    </w:lvl>
    <w:lvl w:ilvl="1" w:tplc="95EE39BE" w:tentative="1">
      <w:start w:val="1"/>
      <w:numFmt w:val="bullet"/>
      <w:lvlText w:val="•"/>
      <w:lvlJc w:val="left"/>
      <w:pPr>
        <w:tabs>
          <w:tab w:val="num" w:pos="1440"/>
        </w:tabs>
        <w:ind w:left="1440" w:hanging="360"/>
      </w:pPr>
      <w:rPr>
        <w:rFonts w:ascii="Arial" w:hAnsi="Arial" w:hint="default"/>
      </w:rPr>
    </w:lvl>
    <w:lvl w:ilvl="2" w:tplc="9E28FE5C" w:tentative="1">
      <w:start w:val="1"/>
      <w:numFmt w:val="bullet"/>
      <w:lvlText w:val="•"/>
      <w:lvlJc w:val="left"/>
      <w:pPr>
        <w:tabs>
          <w:tab w:val="num" w:pos="2160"/>
        </w:tabs>
        <w:ind w:left="2160" w:hanging="360"/>
      </w:pPr>
      <w:rPr>
        <w:rFonts w:ascii="Arial" w:hAnsi="Arial" w:hint="default"/>
      </w:rPr>
    </w:lvl>
    <w:lvl w:ilvl="3" w:tplc="B2EEE658" w:tentative="1">
      <w:start w:val="1"/>
      <w:numFmt w:val="bullet"/>
      <w:lvlText w:val="•"/>
      <w:lvlJc w:val="left"/>
      <w:pPr>
        <w:tabs>
          <w:tab w:val="num" w:pos="2880"/>
        </w:tabs>
        <w:ind w:left="2880" w:hanging="360"/>
      </w:pPr>
      <w:rPr>
        <w:rFonts w:ascii="Arial" w:hAnsi="Arial" w:hint="default"/>
      </w:rPr>
    </w:lvl>
    <w:lvl w:ilvl="4" w:tplc="50E6E670" w:tentative="1">
      <w:start w:val="1"/>
      <w:numFmt w:val="bullet"/>
      <w:lvlText w:val="•"/>
      <w:lvlJc w:val="left"/>
      <w:pPr>
        <w:tabs>
          <w:tab w:val="num" w:pos="3600"/>
        </w:tabs>
        <w:ind w:left="3600" w:hanging="360"/>
      </w:pPr>
      <w:rPr>
        <w:rFonts w:ascii="Arial" w:hAnsi="Arial" w:hint="default"/>
      </w:rPr>
    </w:lvl>
    <w:lvl w:ilvl="5" w:tplc="DCECFBB2" w:tentative="1">
      <w:start w:val="1"/>
      <w:numFmt w:val="bullet"/>
      <w:lvlText w:val="•"/>
      <w:lvlJc w:val="left"/>
      <w:pPr>
        <w:tabs>
          <w:tab w:val="num" w:pos="4320"/>
        </w:tabs>
        <w:ind w:left="4320" w:hanging="360"/>
      </w:pPr>
      <w:rPr>
        <w:rFonts w:ascii="Arial" w:hAnsi="Arial" w:hint="default"/>
      </w:rPr>
    </w:lvl>
    <w:lvl w:ilvl="6" w:tplc="7E8EA282" w:tentative="1">
      <w:start w:val="1"/>
      <w:numFmt w:val="bullet"/>
      <w:lvlText w:val="•"/>
      <w:lvlJc w:val="left"/>
      <w:pPr>
        <w:tabs>
          <w:tab w:val="num" w:pos="5040"/>
        </w:tabs>
        <w:ind w:left="5040" w:hanging="360"/>
      </w:pPr>
      <w:rPr>
        <w:rFonts w:ascii="Arial" w:hAnsi="Arial" w:hint="default"/>
      </w:rPr>
    </w:lvl>
    <w:lvl w:ilvl="7" w:tplc="FE082BDA" w:tentative="1">
      <w:start w:val="1"/>
      <w:numFmt w:val="bullet"/>
      <w:lvlText w:val="•"/>
      <w:lvlJc w:val="left"/>
      <w:pPr>
        <w:tabs>
          <w:tab w:val="num" w:pos="5760"/>
        </w:tabs>
        <w:ind w:left="5760" w:hanging="360"/>
      </w:pPr>
      <w:rPr>
        <w:rFonts w:ascii="Arial" w:hAnsi="Arial" w:hint="default"/>
      </w:rPr>
    </w:lvl>
    <w:lvl w:ilvl="8" w:tplc="9C62F76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8DF49CA"/>
    <w:multiLevelType w:val="hybridMultilevel"/>
    <w:tmpl w:val="FB7A31E0"/>
    <w:lvl w:ilvl="0" w:tplc="DA9ACC2A">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7C88EEAB"/>
    <w:multiLevelType w:val="hybridMultilevel"/>
    <w:tmpl w:val="99CEEBC6"/>
    <w:lvl w:ilvl="0" w:tplc="AE50A7D6">
      <w:start w:val="1"/>
      <w:numFmt w:val="bullet"/>
      <w:lvlText w:val=""/>
      <w:lvlJc w:val="left"/>
      <w:pPr>
        <w:ind w:left="720" w:hanging="360"/>
      </w:pPr>
      <w:rPr>
        <w:rFonts w:ascii="Symbol" w:hAnsi="Symbol" w:hint="default"/>
      </w:rPr>
    </w:lvl>
    <w:lvl w:ilvl="1" w:tplc="2AE86F92">
      <w:start w:val="1"/>
      <w:numFmt w:val="bullet"/>
      <w:lvlText w:val="o"/>
      <w:lvlJc w:val="left"/>
      <w:pPr>
        <w:ind w:left="1440" w:hanging="360"/>
      </w:pPr>
      <w:rPr>
        <w:rFonts w:ascii="Courier New" w:hAnsi="Courier New" w:hint="default"/>
      </w:rPr>
    </w:lvl>
    <w:lvl w:ilvl="2" w:tplc="97B44CF8">
      <w:start w:val="1"/>
      <w:numFmt w:val="bullet"/>
      <w:lvlText w:val=""/>
      <w:lvlJc w:val="left"/>
      <w:pPr>
        <w:ind w:left="2160" w:hanging="360"/>
      </w:pPr>
      <w:rPr>
        <w:rFonts w:ascii="Wingdings" w:hAnsi="Wingdings" w:hint="default"/>
      </w:rPr>
    </w:lvl>
    <w:lvl w:ilvl="3" w:tplc="34CA8D2C">
      <w:start w:val="1"/>
      <w:numFmt w:val="bullet"/>
      <w:lvlText w:val=""/>
      <w:lvlJc w:val="left"/>
      <w:pPr>
        <w:ind w:left="2880" w:hanging="360"/>
      </w:pPr>
      <w:rPr>
        <w:rFonts w:ascii="Symbol" w:hAnsi="Symbol" w:hint="default"/>
      </w:rPr>
    </w:lvl>
    <w:lvl w:ilvl="4" w:tplc="484AC3A6">
      <w:start w:val="1"/>
      <w:numFmt w:val="bullet"/>
      <w:lvlText w:val="o"/>
      <w:lvlJc w:val="left"/>
      <w:pPr>
        <w:ind w:left="3600" w:hanging="360"/>
      </w:pPr>
      <w:rPr>
        <w:rFonts w:ascii="Courier New" w:hAnsi="Courier New" w:hint="default"/>
      </w:rPr>
    </w:lvl>
    <w:lvl w:ilvl="5" w:tplc="2BA6D54C">
      <w:start w:val="1"/>
      <w:numFmt w:val="bullet"/>
      <w:lvlText w:val=""/>
      <w:lvlJc w:val="left"/>
      <w:pPr>
        <w:ind w:left="4320" w:hanging="360"/>
      </w:pPr>
      <w:rPr>
        <w:rFonts w:ascii="Wingdings" w:hAnsi="Wingdings" w:hint="default"/>
      </w:rPr>
    </w:lvl>
    <w:lvl w:ilvl="6" w:tplc="822A0C22">
      <w:start w:val="1"/>
      <w:numFmt w:val="bullet"/>
      <w:lvlText w:val=""/>
      <w:lvlJc w:val="left"/>
      <w:pPr>
        <w:ind w:left="5040" w:hanging="360"/>
      </w:pPr>
      <w:rPr>
        <w:rFonts w:ascii="Symbol" w:hAnsi="Symbol" w:hint="default"/>
      </w:rPr>
    </w:lvl>
    <w:lvl w:ilvl="7" w:tplc="B3320FB2">
      <w:start w:val="1"/>
      <w:numFmt w:val="bullet"/>
      <w:lvlText w:val="o"/>
      <w:lvlJc w:val="left"/>
      <w:pPr>
        <w:ind w:left="5760" w:hanging="360"/>
      </w:pPr>
      <w:rPr>
        <w:rFonts w:ascii="Courier New" w:hAnsi="Courier New" w:hint="default"/>
      </w:rPr>
    </w:lvl>
    <w:lvl w:ilvl="8" w:tplc="8B721CE6">
      <w:start w:val="1"/>
      <w:numFmt w:val="bullet"/>
      <w:lvlText w:val=""/>
      <w:lvlJc w:val="left"/>
      <w:pPr>
        <w:ind w:left="6480" w:hanging="360"/>
      </w:pPr>
      <w:rPr>
        <w:rFonts w:ascii="Wingdings" w:hAnsi="Wingdings" w:hint="default"/>
      </w:rPr>
    </w:lvl>
  </w:abstractNum>
  <w:num w:numId="1" w16cid:durableId="183712925">
    <w:abstractNumId w:val="16"/>
  </w:num>
  <w:num w:numId="2" w16cid:durableId="1396778340">
    <w:abstractNumId w:val="24"/>
  </w:num>
  <w:num w:numId="3" w16cid:durableId="1807122175">
    <w:abstractNumId w:val="23"/>
  </w:num>
  <w:num w:numId="4" w16cid:durableId="1430078813">
    <w:abstractNumId w:val="14"/>
  </w:num>
  <w:num w:numId="5" w16cid:durableId="1247573416">
    <w:abstractNumId w:val="11"/>
  </w:num>
  <w:num w:numId="6" w16cid:durableId="1492718854">
    <w:abstractNumId w:val="35"/>
  </w:num>
  <w:num w:numId="7" w16cid:durableId="2134709853">
    <w:abstractNumId w:val="28"/>
  </w:num>
  <w:num w:numId="8" w16cid:durableId="1624992969">
    <w:abstractNumId w:val="10"/>
  </w:num>
  <w:num w:numId="9" w16cid:durableId="593050039">
    <w:abstractNumId w:val="32"/>
  </w:num>
  <w:num w:numId="10" w16cid:durableId="1697460982">
    <w:abstractNumId w:val="2"/>
  </w:num>
  <w:num w:numId="11" w16cid:durableId="108665091">
    <w:abstractNumId w:val="8"/>
  </w:num>
  <w:num w:numId="12" w16cid:durableId="1641693470">
    <w:abstractNumId w:val="1"/>
  </w:num>
  <w:num w:numId="13" w16cid:durableId="1276983127">
    <w:abstractNumId w:val="6"/>
  </w:num>
  <w:num w:numId="14" w16cid:durableId="1071348105">
    <w:abstractNumId w:val="29"/>
  </w:num>
  <w:num w:numId="15" w16cid:durableId="1832678651">
    <w:abstractNumId w:val="3"/>
  </w:num>
  <w:num w:numId="16" w16cid:durableId="239605081">
    <w:abstractNumId w:val="5"/>
  </w:num>
  <w:num w:numId="17" w16cid:durableId="1986736119">
    <w:abstractNumId w:val="27"/>
  </w:num>
  <w:num w:numId="18" w16cid:durableId="2008705543">
    <w:abstractNumId w:val="25"/>
  </w:num>
  <w:num w:numId="19" w16cid:durableId="1967002045">
    <w:abstractNumId w:val="20"/>
  </w:num>
  <w:num w:numId="20" w16cid:durableId="320550920">
    <w:abstractNumId w:val="0"/>
  </w:num>
  <w:num w:numId="21" w16cid:durableId="413010842">
    <w:abstractNumId w:val="22"/>
  </w:num>
  <w:num w:numId="22" w16cid:durableId="255790211">
    <w:abstractNumId w:val="31"/>
  </w:num>
  <w:num w:numId="23" w16cid:durableId="707335366">
    <w:abstractNumId w:val="7"/>
  </w:num>
  <w:num w:numId="24" w16cid:durableId="108817597">
    <w:abstractNumId w:val="33"/>
  </w:num>
  <w:num w:numId="25" w16cid:durableId="75826484">
    <w:abstractNumId w:val="26"/>
  </w:num>
  <w:num w:numId="26" w16cid:durableId="1366902776">
    <w:abstractNumId w:val="19"/>
  </w:num>
  <w:num w:numId="27" w16cid:durableId="2141730191">
    <w:abstractNumId w:val="30"/>
  </w:num>
  <w:num w:numId="28" w16cid:durableId="938369958">
    <w:abstractNumId w:val="12"/>
  </w:num>
  <w:num w:numId="29" w16cid:durableId="169836341">
    <w:abstractNumId w:val="34"/>
  </w:num>
  <w:num w:numId="30" w16cid:durableId="1223369117">
    <w:abstractNumId w:val="17"/>
  </w:num>
  <w:num w:numId="31" w16cid:durableId="1820465088">
    <w:abstractNumId w:val="21"/>
  </w:num>
  <w:num w:numId="32" w16cid:durableId="144973935">
    <w:abstractNumId w:val="37"/>
  </w:num>
  <w:num w:numId="33" w16cid:durableId="1633290087">
    <w:abstractNumId w:val="13"/>
  </w:num>
  <w:num w:numId="34" w16cid:durableId="1672374142">
    <w:abstractNumId w:val="9"/>
  </w:num>
  <w:num w:numId="35" w16cid:durableId="1603876214">
    <w:abstractNumId w:val="15"/>
  </w:num>
  <w:num w:numId="36" w16cid:durableId="1393650579">
    <w:abstractNumId w:val="18"/>
  </w:num>
  <w:num w:numId="37" w16cid:durableId="24643823">
    <w:abstractNumId w:val="36"/>
  </w:num>
  <w:num w:numId="38" w16cid:durableId="15416268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BB3"/>
    <w:rsid w:val="0000065E"/>
    <w:rsid w:val="00000B45"/>
    <w:rsid w:val="00000EF1"/>
    <w:rsid w:val="00001A94"/>
    <w:rsid w:val="00001A97"/>
    <w:rsid w:val="00001AD9"/>
    <w:rsid w:val="00003E9E"/>
    <w:rsid w:val="0000451A"/>
    <w:rsid w:val="00004891"/>
    <w:rsid w:val="00005C56"/>
    <w:rsid w:val="0000694A"/>
    <w:rsid w:val="00006E1E"/>
    <w:rsid w:val="00006EEC"/>
    <w:rsid w:val="00007348"/>
    <w:rsid w:val="00007352"/>
    <w:rsid w:val="0001292B"/>
    <w:rsid w:val="00014258"/>
    <w:rsid w:val="00014FEE"/>
    <w:rsid w:val="000161BC"/>
    <w:rsid w:val="000170F0"/>
    <w:rsid w:val="000173B0"/>
    <w:rsid w:val="000202E0"/>
    <w:rsid w:val="00020523"/>
    <w:rsid w:val="000233A0"/>
    <w:rsid w:val="00023A1E"/>
    <w:rsid w:val="00024BCE"/>
    <w:rsid w:val="0002550B"/>
    <w:rsid w:val="00025807"/>
    <w:rsid w:val="00027180"/>
    <w:rsid w:val="000271DC"/>
    <w:rsid w:val="000302DC"/>
    <w:rsid w:val="0003144E"/>
    <w:rsid w:val="000319CE"/>
    <w:rsid w:val="00032716"/>
    <w:rsid w:val="00032E50"/>
    <w:rsid w:val="0003366F"/>
    <w:rsid w:val="00034E65"/>
    <w:rsid w:val="000352B8"/>
    <w:rsid w:val="00035648"/>
    <w:rsid w:val="000364BA"/>
    <w:rsid w:val="0004030F"/>
    <w:rsid w:val="00040F0A"/>
    <w:rsid w:val="000417A3"/>
    <w:rsid w:val="00042A6A"/>
    <w:rsid w:val="000448D9"/>
    <w:rsid w:val="000450CE"/>
    <w:rsid w:val="00045154"/>
    <w:rsid w:val="000452C3"/>
    <w:rsid w:val="00045C9C"/>
    <w:rsid w:val="00046447"/>
    <w:rsid w:val="000467AD"/>
    <w:rsid w:val="000472B8"/>
    <w:rsid w:val="00047407"/>
    <w:rsid w:val="00047D42"/>
    <w:rsid w:val="00047D46"/>
    <w:rsid w:val="00050905"/>
    <w:rsid w:val="000518DB"/>
    <w:rsid w:val="00052069"/>
    <w:rsid w:val="00052367"/>
    <w:rsid w:val="00053294"/>
    <w:rsid w:val="00053B53"/>
    <w:rsid w:val="00056157"/>
    <w:rsid w:val="0005695F"/>
    <w:rsid w:val="000570EF"/>
    <w:rsid w:val="00060298"/>
    <w:rsid w:val="000611A9"/>
    <w:rsid w:val="0006144F"/>
    <w:rsid w:val="00062C57"/>
    <w:rsid w:val="00062D8F"/>
    <w:rsid w:val="00064088"/>
    <w:rsid w:val="00064270"/>
    <w:rsid w:val="000647FA"/>
    <w:rsid w:val="00064BB6"/>
    <w:rsid w:val="000656EC"/>
    <w:rsid w:val="000669D8"/>
    <w:rsid w:val="00067293"/>
    <w:rsid w:val="00067638"/>
    <w:rsid w:val="00067C54"/>
    <w:rsid w:val="000717F8"/>
    <w:rsid w:val="00072382"/>
    <w:rsid w:val="0007270F"/>
    <w:rsid w:val="000728CF"/>
    <w:rsid w:val="00072AAD"/>
    <w:rsid w:val="00073592"/>
    <w:rsid w:val="0007486E"/>
    <w:rsid w:val="00075B37"/>
    <w:rsid w:val="0008046F"/>
    <w:rsid w:val="00080D04"/>
    <w:rsid w:val="00080E28"/>
    <w:rsid w:val="00081360"/>
    <w:rsid w:val="00081B4E"/>
    <w:rsid w:val="000839B6"/>
    <w:rsid w:val="000840AC"/>
    <w:rsid w:val="0008434C"/>
    <w:rsid w:val="00084A78"/>
    <w:rsid w:val="000850A7"/>
    <w:rsid w:val="000853E1"/>
    <w:rsid w:val="000856BC"/>
    <w:rsid w:val="00085D02"/>
    <w:rsid w:val="00086271"/>
    <w:rsid w:val="00086288"/>
    <w:rsid w:val="000869AA"/>
    <w:rsid w:val="00086F8A"/>
    <w:rsid w:val="000877AC"/>
    <w:rsid w:val="000906AB"/>
    <w:rsid w:val="00091E58"/>
    <w:rsid w:val="00092C11"/>
    <w:rsid w:val="00092DF3"/>
    <w:rsid w:val="00092DF6"/>
    <w:rsid w:val="00094768"/>
    <w:rsid w:val="00094C22"/>
    <w:rsid w:val="0009524D"/>
    <w:rsid w:val="000952BE"/>
    <w:rsid w:val="00096702"/>
    <w:rsid w:val="00096858"/>
    <w:rsid w:val="00096C9C"/>
    <w:rsid w:val="00097954"/>
    <w:rsid w:val="00097D2E"/>
    <w:rsid w:val="00097F3C"/>
    <w:rsid w:val="000A09EB"/>
    <w:rsid w:val="000A2110"/>
    <w:rsid w:val="000A29D1"/>
    <w:rsid w:val="000A30E3"/>
    <w:rsid w:val="000A3D63"/>
    <w:rsid w:val="000A5081"/>
    <w:rsid w:val="000A5BE5"/>
    <w:rsid w:val="000A604D"/>
    <w:rsid w:val="000A6F76"/>
    <w:rsid w:val="000A78EE"/>
    <w:rsid w:val="000B145F"/>
    <w:rsid w:val="000B1803"/>
    <w:rsid w:val="000B1C46"/>
    <w:rsid w:val="000B2714"/>
    <w:rsid w:val="000B2A9B"/>
    <w:rsid w:val="000B2F84"/>
    <w:rsid w:val="000B4DB5"/>
    <w:rsid w:val="000B4FD0"/>
    <w:rsid w:val="000B5410"/>
    <w:rsid w:val="000B55C6"/>
    <w:rsid w:val="000B57CA"/>
    <w:rsid w:val="000B5C3C"/>
    <w:rsid w:val="000B5D3A"/>
    <w:rsid w:val="000B5D83"/>
    <w:rsid w:val="000B5D91"/>
    <w:rsid w:val="000B6BD6"/>
    <w:rsid w:val="000B6D8D"/>
    <w:rsid w:val="000B734D"/>
    <w:rsid w:val="000B7942"/>
    <w:rsid w:val="000B7C49"/>
    <w:rsid w:val="000C0B2A"/>
    <w:rsid w:val="000C1F86"/>
    <w:rsid w:val="000C2DA5"/>
    <w:rsid w:val="000C2EFF"/>
    <w:rsid w:val="000C3688"/>
    <w:rsid w:val="000C3D5E"/>
    <w:rsid w:val="000C40D2"/>
    <w:rsid w:val="000C72D0"/>
    <w:rsid w:val="000C7D3F"/>
    <w:rsid w:val="000D16FB"/>
    <w:rsid w:val="000D2185"/>
    <w:rsid w:val="000D28A9"/>
    <w:rsid w:val="000D2C16"/>
    <w:rsid w:val="000D3D9E"/>
    <w:rsid w:val="000D497D"/>
    <w:rsid w:val="000D4A23"/>
    <w:rsid w:val="000D514F"/>
    <w:rsid w:val="000D552C"/>
    <w:rsid w:val="000D5F18"/>
    <w:rsid w:val="000D7058"/>
    <w:rsid w:val="000E0441"/>
    <w:rsid w:val="000E1EE5"/>
    <w:rsid w:val="000E2982"/>
    <w:rsid w:val="000E3467"/>
    <w:rsid w:val="000E34D5"/>
    <w:rsid w:val="000E3995"/>
    <w:rsid w:val="000E49DB"/>
    <w:rsid w:val="000E4AFD"/>
    <w:rsid w:val="000E4EA0"/>
    <w:rsid w:val="000E52ED"/>
    <w:rsid w:val="000E57A7"/>
    <w:rsid w:val="000E5BF5"/>
    <w:rsid w:val="000E6173"/>
    <w:rsid w:val="000E658C"/>
    <w:rsid w:val="000F107E"/>
    <w:rsid w:val="000F1102"/>
    <w:rsid w:val="000F20C2"/>
    <w:rsid w:val="000F236C"/>
    <w:rsid w:val="000F2672"/>
    <w:rsid w:val="000F29DE"/>
    <w:rsid w:val="000F4545"/>
    <w:rsid w:val="000F4C32"/>
    <w:rsid w:val="000F5122"/>
    <w:rsid w:val="000F54CC"/>
    <w:rsid w:val="000F5792"/>
    <w:rsid w:val="000F5F38"/>
    <w:rsid w:val="000F628C"/>
    <w:rsid w:val="000F67C8"/>
    <w:rsid w:val="000F6D32"/>
    <w:rsid w:val="000F74D2"/>
    <w:rsid w:val="00100102"/>
    <w:rsid w:val="001005C8"/>
    <w:rsid w:val="00101088"/>
    <w:rsid w:val="00101843"/>
    <w:rsid w:val="001021A0"/>
    <w:rsid w:val="0010312A"/>
    <w:rsid w:val="001035BB"/>
    <w:rsid w:val="001056A8"/>
    <w:rsid w:val="00105706"/>
    <w:rsid w:val="0010586E"/>
    <w:rsid w:val="0010588F"/>
    <w:rsid w:val="00106CAB"/>
    <w:rsid w:val="00106E07"/>
    <w:rsid w:val="001070AC"/>
    <w:rsid w:val="0010721F"/>
    <w:rsid w:val="00107CA0"/>
    <w:rsid w:val="00107DC6"/>
    <w:rsid w:val="001102EF"/>
    <w:rsid w:val="00110E06"/>
    <w:rsid w:val="001114EA"/>
    <w:rsid w:val="0011160F"/>
    <w:rsid w:val="0011176B"/>
    <w:rsid w:val="00111DD9"/>
    <w:rsid w:val="001123E1"/>
    <w:rsid w:val="00112E4A"/>
    <w:rsid w:val="001132E5"/>
    <w:rsid w:val="001136E7"/>
    <w:rsid w:val="00113CCC"/>
    <w:rsid w:val="00114226"/>
    <w:rsid w:val="0011438C"/>
    <w:rsid w:val="001149DD"/>
    <w:rsid w:val="001156B4"/>
    <w:rsid w:val="0011595C"/>
    <w:rsid w:val="00115DBC"/>
    <w:rsid w:val="001169F9"/>
    <w:rsid w:val="00116CE4"/>
    <w:rsid w:val="00116E87"/>
    <w:rsid w:val="00117D90"/>
    <w:rsid w:val="0012202C"/>
    <w:rsid w:val="00122904"/>
    <w:rsid w:val="001229E4"/>
    <w:rsid w:val="001236B8"/>
    <w:rsid w:val="0012431E"/>
    <w:rsid w:val="0012478F"/>
    <w:rsid w:val="00124897"/>
    <w:rsid w:val="00125394"/>
    <w:rsid w:val="001256CC"/>
    <w:rsid w:val="00125C91"/>
    <w:rsid w:val="0012628F"/>
    <w:rsid w:val="0012668B"/>
    <w:rsid w:val="00126B42"/>
    <w:rsid w:val="00127802"/>
    <w:rsid w:val="00127BD1"/>
    <w:rsid w:val="00130869"/>
    <w:rsid w:val="00130AAE"/>
    <w:rsid w:val="00131990"/>
    <w:rsid w:val="00131D50"/>
    <w:rsid w:val="00132380"/>
    <w:rsid w:val="00132750"/>
    <w:rsid w:val="001340CD"/>
    <w:rsid w:val="001348C6"/>
    <w:rsid w:val="001357C7"/>
    <w:rsid w:val="00135998"/>
    <w:rsid w:val="00136914"/>
    <w:rsid w:val="00136D88"/>
    <w:rsid w:val="00137473"/>
    <w:rsid w:val="001374E1"/>
    <w:rsid w:val="00140E1A"/>
    <w:rsid w:val="00142E28"/>
    <w:rsid w:val="00143FFA"/>
    <w:rsid w:val="0014476C"/>
    <w:rsid w:val="00144826"/>
    <w:rsid w:val="00146328"/>
    <w:rsid w:val="001465E2"/>
    <w:rsid w:val="00147269"/>
    <w:rsid w:val="00150178"/>
    <w:rsid w:val="0015026A"/>
    <w:rsid w:val="001516D6"/>
    <w:rsid w:val="00152050"/>
    <w:rsid w:val="001526D1"/>
    <w:rsid w:val="00152C07"/>
    <w:rsid w:val="00153322"/>
    <w:rsid w:val="00153498"/>
    <w:rsid w:val="00154E6E"/>
    <w:rsid w:val="001551B0"/>
    <w:rsid w:val="001553A8"/>
    <w:rsid w:val="0015559A"/>
    <w:rsid w:val="00156EE4"/>
    <w:rsid w:val="0016040B"/>
    <w:rsid w:val="00160761"/>
    <w:rsid w:val="00160BFC"/>
    <w:rsid w:val="0016140B"/>
    <w:rsid w:val="00163F56"/>
    <w:rsid w:val="001643AB"/>
    <w:rsid w:val="00164770"/>
    <w:rsid w:val="00165C68"/>
    <w:rsid w:val="001661F0"/>
    <w:rsid w:val="00166819"/>
    <w:rsid w:val="00167B59"/>
    <w:rsid w:val="00170203"/>
    <w:rsid w:val="00173C28"/>
    <w:rsid w:val="00174FC1"/>
    <w:rsid w:val="0017535F"/>
    <w:rsid w:val="00175698"/>
    <w:rsid w:val="0017641E"/>
    <w:rsid w:val="00176429"/>
    <w:rsid w:val="0017681C"/>
    <w:rsid w:val="00177797"/>
    <w:rsid w:val="00177C3B"/>
    <w:rsid w:val="00177CB4"/>
    <w:rsid w:val="00180E8D"/>
    <w:rsid w:val="001812A9"/>
    <w:rsid w:val="00182580"/>
    <w:rsid w:val="00182A93"/>
    <w:rsid w:val="00182FDA"/>
    <w:rsid w:val="001846DA"/>
    <w:rsid w:val="001850DE"/>
    <w:rsid w:val="0018578D"/>
    <w:rsid w:val="00185A53"/>
    <w:rsid w:val="00186513"/>
    <w:rsid w:val="00186647"/>
    <w:rsid w:val="00187FC7"/>
    <w:rsid w:val="0019058C"/>
    <w:rsid w:val="00190679"/>
    <w:rsid w:val="001907FE"/>
    <w:rsid w:val="00191CCE"/>
    <w:rsid w:val="00191D51"/>
    <w:rsid w:val="001924BE"/>
    <w:rsid w:val="00192BE0"/>
    <w:rsid w:val="001931EF"/>
    <w:rsid w:val="00193777"/>
    <w:rsid w:val="00193A91"/>
    <w:rsid w:val="00194682"/>
    <w:rsid w:val="00194897"/>
    <w:rsid w:val="001953A8"/>
    <w:rsid w:val="00195440"/>
    <w:rsid w:val="00197291"/>
    <w:rsid w:val="001A03BD"/>
    <w:rsid w:val="001A0A67"/>
    <w:rsid w:val="001A10C1"/>
    <w:rsid w:val="001A13B9"/>
    <w:rsid w:val="001A2501"/>
    <w:rsid w:val="001A44D9"/>
    <w:rsid w:val="001A50AE"/>
    <w:rsid w:val="001A5124"/>
    <w:rsid w:val="001A5DD0"/>
    <w:rsid w:val="001A645A"/>
    <w:rsid w:val="001A76AE"/>
    <w:rsid w:val="001B0BF2"/>
    <w:rsid w:val="001B1A87"/>
    <w:rsid w:val="001B1AF1"/>
    <w:rsid w:val="001B2519"/>
    <w:rsid w:val="001B3C47"/>
    <w:rsid w:val="001B4656"/>
    <w:rsid w:val="001B4804"/>
    <w:rsid w:val="001B4887"/>
    <w:rsid w:val="001B4C65"/>
    <w:rsid w:val="001B4CCE"/>
    <w:rsid w:val="001B55C5"/>
    <w:rsid w:val="001B5C5D"/>
    <w:rsid w:val="001B6444"/>
    <w:rsid w:val="001B66F1"/>
    <w:rsid w:val="001C0764"/>
    <w:rsid w:val="001C078D"/>
    <w:rsid w:val="001C0AE4"/>
    <w:rsid w:val="001C1A2F"/>
    <w:rsid w:val="001C1FA6"/>
    <w:rsid w:val="001C27EF"/>
    <w:rsid w:val="001C29B8"/>
    <w:rsid w:val="001C31B1"/>
    <w:rsid w:val="001C32FE"/>
    <w:rsid w:val="001C3A7B"/>
    <w:rsid w:val="001C46A1"/>
    <w:rsid w:val="001C4D10"/>
    <w:rsid w:val="001C4FAF"/>
    <w:rsid w:val="001C52EC"/>
    <w:rsid w:val="001C5F7C"/>
    <w:rsid w:val="001C6406"/>
    <w:rsid w:val="001C6493"/>
    <w:rsid w:val="001C756A"/>
    <w:rsid w:val="001C7FE9"/>
    <w:rsid w:val="001D0159"/>
    <w:rsid w:val="001D019D"/>
    <w:rsid w:val="001D0A86"/>
    <w:rsid w:val="001D13F6"/>
    <w:rsid w:val="001D180E"/>
    <w:rsid w:val="001D4774"/>
    <w:rsid w:val="001D487A"/>
    <w:rsid w:val="001D56F0"/>
    <w:rsid w:val="001D60D4"/>
    <w:rsid w:val="001D75BA"/>
    <w:rsid w:val="001D7697"/>
    <w:rsid w:val="001E082A"/>
    <w:rsid w:val="001E0D84"/>
    <w:rsid w:val="001E0E5E"/>
    <w:rsid w:val="001E1C5E"/>
    <w:rsid w:val="001E35FC"/>
    <w:rsid w:val="001E3EDB"/>
    <w:rsid w:val="001E49ED"/>
    <w:rsid w:val="001E5229"/>
    <w:rsid w:val="001E545E"/>
    <w:rsid w:val="001E5582"/>
    <w:rsid w:val="001E5655"/>
    <w:rsid w:val="001E5C38"/>
    <w:rsid w:val="001E5E76"/>
    <w:rsid w:val="001E69A5"/>
    <w:rsid w:val="001E70B4"/>
    <w:rsid w:val="001E742C"/>
    <w:rsid w:val="001E74FB"/>
    <w:rsid w:val="001F0451"/>
    <w:rsid w:val="001F0676"/>
    <w:rsid w:val="001F0D9E"/>
    <w:rsid w:val="001F123F"/>
    <w:rsid w:val="001F1646"/>
    <w:rsid w:val="001F1852"/>
    <w:rsid w:val="001F3302"/>
    <w:rsid w:val="001F383E"/>
    <w:rsid w:val="001F38AB"/>
    <w:rsid w:val="001F4DFB"/>
    <w:rsid w:val="001F537D"/>
    <w:rsid w:val="001F65A2"/>
    <w:rsid w:val="001F71B5"/>
    <w:rsid w:val="00200713"/>
    <w:rsid w:val="00200C1B"/>
    <w:rsid w:val="00200F99"/>
    <w:rsid w:val="002017DA"/>
    <w:rsid w:val="00202169"/>
    <w:rsid w:val="00202D7D"/>
    <w:rsid w:val="00203C54"/>
    <w:rsid w:val="00203C8E"/>
    <w:rsid w:val="00204966"/>
    <w:rsid w:val="0020507C"/>
    <w:rsid w:val="002054F0"/>
    <w:rsid w:val="00206349"/>
    <w:rsid w:val="00207B22"/>
    <w:rsid w:val="00210174"/>
    <w:rsid w:val="00210470"/>
    <w:rsid w:val="00210C4D"/>
    <w:rsid w:val="00210F15"/>
    <w:rsid w:val="002124A3"/>
    <w:rsid w:val="00212B00"/>
    <w:rsid w:val="0021644A"/>
    <w:rsid w:val="002178AB"/>
    <w:rsid w:val="0021794E"/>
    <w:rsid w:val="0022025C"/>
    <w:rsid w:val="00220680"/>
    <w:rsid w:val="00220C53"/>
    <w:rsid w:val="0022134D"/>
    <w:rsid w:val="0022202A"/>
    <w:rsid w:val="00222261"/>
    <w:rsid w:val="002241D1"/>
    <w:rsid w:val="002244BD"/>
    <w:rsid w:val="00224AEB"/>
    <w:rsid w:val="002254E0"/>
    <w:rsid w:val="00226532"/>
    <w:rsid w:val="00226A66"/>
    <w:rsid w:val="002273DC"/>
    <w:rsid w:val="00227A7B"/>
    <w:rsid w:val="00227DB5"/>
    <w:rsid w:val="00227EB2"/>
    <w:rsid w:val="00230A53"/>
    <w:rsid w:val="00231C64"/>
    <w:rsid w:val="00231CCF"/>
    <w:rsid w:val="002324CF"/>
    <w:rsid w:val="00233266"/>
    <w:rsid w:val="00233869"/>
    <w:rsid w:val="002347C8"/>
    <w:rsid w:val="00234983"/>
    <w:rsid w:val="002349B6"/>
    <w:rsid w:val="002349FC"/>
    <w:rsid w:val="00235F97"/>
    <w:rsid w:val="002368A7"/>
    <w:rsid w:val="00237D3F"/>
    <w:rsid w:val="00237D71"/>
    <w:rsid w:val="00242728"/>
    <w:rsid w:val="00242A67"/>
    <w:rsid w:val="00242FED"/>
    <w:rsid w:val="00243FB3"/>
    <w:rsid w:val="00244326"/>
    <w:rsid w:val="002446F9"/>
    <w:rsid w:val="0024516A"/>
    <w:rsid w:val="00245A29"/>
    <w:rsid w:val="00245D8F"/>
    <w:rsid w:val="002461B5"/>
    <w:rsid w:val="00247072"/>
    <w:rsid w:val="0024749A"/>
    <w:rsid w:val="00247860"/>
    <w:rsid w:val="00247AD8"/>
    <w:rsid w:val="00247CF3"/>
    <w:rsid w:val="00250810"/>
    <w:rsid w:val="00253447"/>
    <w:rsid w:val="0025359B"/>
    <w:rsid w:val="00254188"/>
    <w:rsid w:val="002544DC"/>
    <w:rsid w:val="0025574C"/>
    <w:rsid w:val="00256037"/>
    <w:rsid w:val="00256E2A"/>
    <w:rsid w:val="002602E6"/>
    <w:rsid w:val="00260B9D"/>
    <w:rsid w:val="00260C0F"/>
    <w:rsid w:val="002613A9"/>
    <w:rsid w:val="0026175C"/>
    <w:rsid w:val="00262F75"/>
    <w:rsid w:val="00263301"/>
    <w:rsid w:val="00263845"/>
    <w:rsid w:val="002641D5"/>
    <w:rsid w:val="002642BD"/>
    <w:rsid w:val="00264C20"/>
    <w:rsid w:val="00264D97"/>
    <w:rsid w:val="0026581A"/>
    <w:rsid w:val="002665B3"/>
    <w:rsid w:val="00270868"/>
    <w:rsid w:val="00272209"/>
    <w:rsid w:val="00272410"/>
    <w:rsid w:val="0027295B"/>
    <w:rsid w:val="00273468"/>
    <w:rsid w:val="0027375A"/>
    <w:rsid w:val="00274928"/>
    <w:rsid w:val="00276DAD"/>
    <w:rsid w:val="002776BA"/>
    <w:rsid w:val="002808F2"/>
    <w:rsid w:val="00280ADD"/>
    <w:rsid w:val="00281BB4"/>
    <w:rsid w:val="00281D95"/>
    <w:rsid w:val="00283387"/>
    <w:rsid w:val="00284148"/>
    <w:rsid w:val="00284682"/>
    <w:rsid w:val="00284BB0"/>
    <w:rsid w:val="00284C25"/>
    <w:rsid w:val="002855B3"/>
    <w:rsid w:val="00285E32"/>
    <w:rsid w:val="00286DBD"/>
    <w:rsid w:val="00290B1A"/>
    <w:rsid w:val="00291C7A"/>
    <w:rsid w:val="00291D2C"/>
    <w:rsid w:val="00294969"/>
    <w:rsid w:val="00295650"/>
    <w:rsid w:val="0029617D"/>
    <w:rsid w:val="00296BA4"/>
    <w:rsid w:val="00297587"/>
    <w:rsid w:val="00297830"/>
    <w:rsid w:val="002979E4"/>
    <w:rsid w:val="002A015B"/>
    <w:rsid w:val="002A1533"/>
    <w:rsid w:val="002A16BB"/>
    <w:rsid w:val="002A2088"/>
    <w:rsid w:val="002A225A"/>
    <w:rsid w:val="002A3CF4"/>
    <w:rsid w:val="002A47D7"/>
    <w:rsid w:val="002A480A"/>
    <w:rsid w:val="002A5959"/>
    <w:rsid w:val="002A5D96"/>
    <w:rsid w:val="002A616D"/>
    <w:rsid w:val="002A653C"/>
    <w:rsid w:val="002A6BD1"/>
    <w:rsid w:val="002A7529"/>
    <w:rsid w:val="002B09BC"/>
    <w:rsid w:val="002B0D8A"/>
    <w:rsid w:val="002B1889"/>
    <w:rsid w:val="002B1D36"/>
    <w:rsid w:val="002B29B2"/>
    <w:rsid w:val="002B2FBC"/>
    <w:rsid w:val="002B34B5"/>
    <w:rsid w:val="002B3DF0"/>
    <w:rsid w:val="002B3EDA"/>
    <w:rsid w:val="002B47E7"/>
    <w:rsid w:val="002B4EB1"/>
    <w:rsid w:val="002B57B2"/>
    <w:rsid w:val="002B62F7"/>
    <w:rsid w:val="002B6650"/>
    <w:rsid w:val="002B7279"/>
    <w:rsid w:val="002B7444"/>
    <w:rsid w:val="002B7630"/>
    <w:rsid w:val="002B767A"/>
    <w:rsid w:val="002B7F2F"/>
    <w:rsid w:val="002C09A8"/>
    <w:rsid w:val="002C1585"/>
    <w:rsid w:val="002C15E0"/>
    <w:rsid w:val="002C2162"/>
    <w:rsid w:val="002C228E"/>
    <w:rsid w:val="002C3562"/>
    <w:rsid w:val="002C47D8"/>
    <w:rsid w:val="002C5BDA"/>
    <w:rsid w:val="002C6043"/>
    <w:rsid w:val="002C7531"/>
    <w:rsid w:val="002C7C8F"/>
    <w:rsid w:val="002C7CCD"/>
    <w:rsid w:val="002D1276"/>
    <w:rsid w:val="002D1944"/>
    <w:rsid w:val="002D20C0"/>
    <w:rsid w:val="002D271C"/>
    <w:rsid w:val="002D2843"/>
    <w:rsid w:val="002D2B50"/>
    <w:rsid w:val="002D2F32"/>
    <w:rsid w:val="002D4249"/>
    <w:rsid w:val="002D492B"/>
    <w:rsid w:val="002D57A2"/>
    <w:rsid w:val="002D5B98"/>
    <w:rsid w:val="002D6F47"/>
    <w:rsid w:val="002D7589"/>
    <w:rsid w:val="002D758D"/>
    <w:rsid w:val="002E0912"/>
    <w:rsid w:val="002E14A3"/>
    <w:rsid w:val="002E1647"/>
    <w:rsid w:val="002E1B19"/>
    <w:rsid w:val="002E1E1F"/>
    <w:rsid w:val="002E2485"/>
    <w:rsid w:val="002E258D"/>
    <w:rsid w:val="002E3AA1"/>
    <w:rsid w:val="002E3C72"/>
    <w:rsid w:val="002E553F"/>
    <w:rsid w:val="002E7E30"/>
    <w:rsid w:val="002F09B7"/>
    <w:rsid w:val="002F3B3C"/>
    <w:rsid w:val="002F4C72"/>
    <w:rsid w:val="002F524B"/>
    <w:rsid w:val="002F5303"/>
    <w:rsid w:val="002F5E37"/>
    <w:rsid w:val="002F5E8E"/>
    <w:rsid w:val="002F6612"/>
    <w:rsid w:val="002F662D"/>
    <w:rsid w:val="002F669F"/>
    <w:rsid w:val="002F72F0"/>
    <w:rsid w:val="0030064B"/>
    <w:rsid w:val="00300C8A"/>
    <w:rsid w:val="003015A8"/>
    <w:rsid w:val="00301695"/>
    <w:rsid w:val="00301793"/>
    <w:rsid w:val="00302CDA"/>
    <w:rsid w:val="00304A10"/>
    <w:rsid w:val="003053E9"/>
    <w:rsid w:val="00306298"/>
    <w:rsid w:val="003063E1"/>
    <w:rsid w:val="00310A1F"/>
    <w:rsid w:val="003113F2"/>
    <w:rsid w:val="00311D31"/>
    <w:rsid w:val="00312D68"/>
    <w:rsid w:val="003132C8"/>
    <w:rsid w:val="00314E07"/>
    <w:rsid w:val="003158C5"/>
    <w:rsid w:val="00315C26"/>
    <w:rsid w:val="00317F70"/>
    <w:rsid w:val="00320C92"/>
    <w:rsid w:val="0032125B"/>
    <w:rsid w:val="00321401"/>
    <w:rsid w:val="003216A8"/>
    <w:rsid w:val="00321762"/>
    <w:rsid w:val="00322C53"/>
    <w:rsid w:val="00322FFF"/>
    <w:rsid w:val="0032350F"/>
    <w:rsid w:val="00324BD1"/>
    <w:rsid w:val="00324D99"/>
    <w:rsid w:val="00325AC0"/>
    <w:rsid w:val="003262DA"/>
    <w:rsid w:val="00326882"/>
    <w:rsid w:val="00326A08"/>
    <w:rsid w:val="00326A6A"/>
    <w:rsid w:val="00326C51"/>
    <w:rsid w:val="003275EC"/>
    <w:rsid w:val="00327EE3"/>
    <w:rsid w:val="0033003F"/>
    <w:rsid w:val="00334125"/>
    <w:rsid w:val="0033610B"/>
    <w:rsid w:val="00336CDC"/>
    <w:rsid w:val="00337983"/>
    <w:rsid w:val="00340E39"/>
    <w:rsid w:val="00341177"/>
    <w:rsid w:val="003413E5"/>
    <w:rsid w:val="00341CC9"/>
    <w:rsid w:val="00343971"/>
    <w:rsid w:val="0034418D"/>
    <w:rsid w:val="0034465A"/>
    <w:rsid w:val="00344813"/>
    <w:rsid w:val="00345225"/>
    <w:rsid w:val="003455A4"/>
    <w:rsid w:val="0034618E"/>
    <w:rsid w:val="003462C4"/>
    <w:rsid w:val="003464C6"/>
    <w:rsid w:val="0034669E"/>
    <w:rsid w:val="003477F3"/>
    <w:rsid w:val="00351C9A"/>
    <w:rsid w:val="00351D35"/>
    <w:rsid w:val="00351E3E"/>
    <w:rsid w:val="003532F1"/>
    <w:rsid w:val="00353E04"/>
    <w:rsid w:val="00354A11"/>
    <w:rsid w:val="00354A44"/>
    <w:rsid w:val="00355879"/>
    <w:rsid w:val="003564DD"/>
    <w:rsid w:val="0035684D"/>
    <w:rsid w:val="00356F06"/>
    <w:rsid w:val="00360F78"/>
    <w:rsid w:val="00363A02"/>
    <w:rsid w:val="003642F5"/>
    <w:rsid w:val="003649F9"/>
    <w:rsid w:val="00364AD5"/>
    <w:rsid w:val="0036508B"/>
    <w:rsid w:val="00365319"/>
    <w:rsid w:val="00365E0C"/>
    <w:rsid w:val="00370B94"/>
    <w:rsid w:val="00371489"/>
    <w:rsid w:val="00371E33"/>
    <w:rsid w:val="003720A2"/>
    <w:rsid w:val="00372215"/>
    <w:rsid w:val="00372A29"/>
    <w:rsid w:val="00372B95"/>
    <w:rsid w:val="00372D57"/>
    <w:rsid w:val="00373119"/>
    <w:rsid w:val="00376C1A"/>
    <w:rsid w:val="0037729E"/>
    <w:rsid w:val="003802C8"/>
    <w:rsid w:val="003805D1"/>
    <w:rsid w:val="00382861"/>
    <w:rsid w:val="00382AFB"/>
    <w:rsid w:val="003833FA"/>
    <w:rsid w:val="00383708"/>
    <w:rsid w:val="00383A0A"/>
    <w:rsid w:val="00383D8A"/>
    <w:rsid w:val="0038505E"/>
    <w:rsid w:val="00385184"/>
    <w:rsid w:val="00385D05"/>
    <w:rsid w:val="003864C2"/>
    <w:rsid w:val="003871A0"/>
    <w:rsid w:val="003917A2"/>
    <w:rsid w:val="00391D57"/>
    <w:rsid w:val="003921B2"/>
    <w:rsid w:val="003933D9"/>
    <w:rsid w:val="00393496"/>
    <w:rsid w:val="00394792"/>
    <w:rsid w:val="00396567"/>
    <w:rsid w:val="00396DC0"/>
    <w:rsid w:val="0039780C"/>
    <w:rsid w:val="003A1930"/>
    <w:rsid w:val="003A1984"/>
    <w:rsid w:val="003A63BD"/>
    <w:rsid w:val="003A70BB"/>
    <w:rsid w:val="003A7594"/>
    <w:rsid w:val="003A7F93"/>
    <w:rsid w:val="003B030C"/>
    <w:rsid w:val="003B1332"/>
    <w:rsid w:val="003B143F"/>
    <w:rsid w:val="003B1ACD"/>
    <w:rsid w:val="003B20F3"/>
    <w:rsid w:val="003B293C"/>
    <w:rsid w:val="003B2994"/>
    <w:rsid w:val="003B322C"/>
    <w:rsid w:val="003B339B"/>
    <w:rsid w:val="003B34A0"/>
    <w:rsid w:val="003B36B3"/>
    <w:rsid w:val="003B3BE6"/>
    <w:rsid w:val="003B45FA"/>
    <w:rsid w:val="003B468A"/>
    <w:rsid w:val="003B4AC8"/>
    <w:rsid w:val="003B509E"/>
    <w:rsid w:val="003B55EB"/>
    <w:rsid w:val="003B5867"/>
    <w:rsid w:val="003B588C"/>
    <w:rsid w:val="003B6E27"/>
    <w:rsid w:val="003B7570"/>
    <w:rsid w:val="003B7C61"/>
    <w:rsid w:val="003C003F"/>
    <w:rsid w:val="003C0A10"/>
    <w:rsid w:val="003C0EED"/>
    <w:rsid w:val="003C106A"/>
    <w:rsid w:val="003C11E3"/>
    <w:rsid w:val="003C1EF7"/>
    <w:rsid w:val="003C2DD2"/>
    <w:rsid w:val="003C5272"/>
    <w:rsid w:val="003C5344"/>
    <w:rsid w:val="003C5F92"/>
    <w:rsid w:val="003C7C3E"/>
    <w:rsid w:val="003D0C4A"/>
    <w:rsid w:val="003D1414"/>
    <w:rsid w:val="003D1BBB"/>
    <w:rsid w:val="003D1C42"/>
    <w:rsid w:val="003D1CAC"/>
    <w:rsid w:val="003D20C8"/>
    <w:rsid w:val="003D222E"/>
    <w:rsid w:val="003D3049"/>
    <w:rsid w:val="003D3851"/>
    <w:rsid w:val="003D40BF"/>
    <w:rsid w:val="003D46E8"/>
    <w:rsid w:val="003D592C"/>
    <w:rsid w:val="003D60DC"/>
    <w:rsid w:val="003D6442"/>
    <w:rsid w:val="003D77B7"/>
    <w:rsid w:val="003D7A0E"/>
    <w:rsid w:val="003E007F"/>
    <w:rsid w:val="003E0B55"/>
    <w:rsid w:val="003E0B78"/>
    <w:rsid w:val="003E0BA9"/>
    <w:rsid w:val="003E1F60"/>
    <w:rsid w:val="003E2123"/>
    <w:rsid w:val="003E3546"/>
    <w:rsid w:val="003E38BD"/>
    <w:rsid w:val="003E4223"/>
    <w:rsid w:val="003E4CFD"/>
    <w:rsid w:val="003E614B"/>
    <w:rsid w:val="003E6528"/>
    <w:rsid w:val="003E72DE"/>
    <w:rsid w:val="003E75CD"/>
    <w:rsid w:val="003F1AA6"/>
    <w:rsid w:val="003F1BDD"/>
    <w:rsid w:val="003F1CBF"/>
    <w:rsid w:val="003F2154"/>
    <w:rsid w:val="003F30D2"/>
    <w:rsid w:val="003F4871"/>
    <w:rsid w:val="003F4AE5"/>
    <w:rsid w:val="003F4DB9"/>
    <w:rsid w:val="003F5975"/>
    <w:rsid w:val="003F63C0"/>
    <w:rsid w:val="003F657C"/>
    <w:rsid w:val="003F6930"/>
    <w:rsid w:val="003F7092"/>
    <w:rsid w:val="003F7250"/>
    <w:rsid w:val="00401ECC"/>
    <w:rsid w:val="0040250F"/>
    <w:rsid w:val="00402FCC"/>
    <w:rsid w:val="0040385F"/>
    <w:rsid w:val="00405960"/>
    <w:rsid w:val="0040633C"/>
    <w:rsid w:val="00407FFD"/>
    <w:rsid w:val="00410676"/>
    <w:rsid w:val="00410974"/>
    <w:rsid w:val="00410AE4"/>
    <w:rsid w:val="00411934"/>
    <w:rsid w:val="00411B5A"/>
    <w:rsid w:val="004122AB"/>
    <w:rsid w:val="004127AA"/>
    <w:rsid w:val="00412B90"/>
    <w:rsid w:val="00412E3C"/>
    <w:rsid w:val="004161C3"/>
    <w:rsid w:val="0041661B"/>
    <w:rsid w:val="004169FC"/>
    <w:rsid w:val="00417093"/>
    <w:rsid w:val="004174A4"/>
    <w:rsid w:val="0042027B"/>
    <w:rsid w:val="0042072D"/>
    <w:rsid w:val="004209B7"/>
    <w:rsid w:val="00423360"/>
    <w:rsid w:val="0042532C"/>
    <w:rsid w:val="00425D1F"/>
    <w:rsid w:val="004268D4"/>
    <w:rsid w:val="00430696"/>
    <w:rsid w:val="004320D8"/>
    <w:rsid w:val="004325AD"/>
    <w:rsid w:val="00433186"/>
    <w:rsid w:val="0043330D"/>
    <w:rsid w:val="00433667"/>
    <w:rsid w:val="004338B2"/>
    <w:rsid w:val="00434589"/>
    <w:rsid w:val="00435036"/>
    <w:rsid w:val="004361D5"/>
    <w:rsid w:val="00436509"/>
    <w:rsid w:val="00436C15"/>
    <w:rsid w:val="00437BFA"/>
    <w:rsid w:val="0044092F"/>
    <w:rsid w:val="00440B4A"/>
    <w:rsid w:val="00441727"/>
    <w:rsid w:val="004421E6"/>
    <w:rsid w:val="00442376"/>
    <w:rsid w:val="0044299E"/>
    <w:rsid w:val="004432A0"/>
    <w:rsid w:val="00443D18"/>
    <w:rsid w:val="00444419"/>
    <w:rsid w:val="00445F1D"/>
    <w:rsid w:val="004461C8"/>
    <w:rsid w:val="00446240"/>
    <w:rsid w:val="004462FE"/>
    <w:rsid w:val="00446395"/>
    <w:rsid w:val="00446A17"/>
    <w:rsid w:val="00453403"/>
    <w:rsid w:val="00455F90"/>
    <w:rsid w:val="004560A3"/>
    <w:rsid w:val="004562F0"/>
    <w:rsid w:val="004576E0"/>
    <w:rsid w:val="00457AEF"/>
    <w:rsid w:val="00457BC2"/>
    <w:rsid w:val="004603AA"/>
    <w:rsid w:val="004605A4"/>
    <w:rsid w:val="004610D1"/>
    <w:rsid w:val="004614FA"/>
    <w:rsid w:val="00462166"/>
    <w:rsid w:val="00463CA1"/>
    <w:rsid w:val="0046453F"/>
    <w:rsid w:val="00465ACB"/>
    <w:rsid w:val="00467720"/>
    <w:rsid w:val="00470B72"/>
    <w:rsid w:val="00471788"/>
    <w:rsid w:val="0047202F"/>
    <w:rsid w:val="00472E8F"/>
    <w:rsid w:val="00473468"/>
    <w:rsid w:val="00473B26"/>
    <w:rsid w:val="00474371"/>
    <w:rsid w:val="00474CAC"/>
    <w:rsid w:val="004757A2"/>
    <w:rsid w:val="00476BDB"/>
    <w:rsid w:val="00480092"/>
    <w:rsid w:val="0048020B"/>
    <w:rsid w:val="0048100A"/>
    <w:rsid w:val="00481279"/>
    <w:rsid w:val="00481431"/>
    <w:rsid w:val="004814C6"/>
    <w:rsid w:val="00481750"/>
    <w:rsid w:val="00481DC1"/>
    <w:rsid w:val="004824D7"/>
    <w:rsid w:val="0048268E"/>
    <w:rsid w:val="00482BC2"/>
    <w:rsid w:val="00482F94"/>
    <w:rsid w:val="0048317F"/>
    <w:rsid w:val="004833E7"/>
    <w:rsid w:val="00483804"/>
    <w:rsid w:val="004839F6"/>
    <w:rsid w:val="00483F8A"/>
    <w:rsid w:val="00485779"/>
    <w:rsid w:val="00485B38"/>
    <w:rsid w:val="00485FF4"/>
    <w:rsid w:val="004863AC"/>
    <w:rsid w:val="00490030"/>
    <w:rsid w:val="004929B2"/>
    <w:rsid w:val="004930C7"/>
    <w:rsid w:val="004949C6"/>
    <w:rsid w:val="00494B0A"/>
    <w:rsid w:val="00494CE9"/>
    <w:rsid w:val="00495239"/>
    <w:rsid w:val="00495572"/>
    <w:rsid w:val="00495CC6"/>
    <w:rsid w:val="0049652F"/>
    <w:rsid w:val="00496A9E"/>
    <w:rsid w:val="0049782B"/>
    <w:rsid w:val="00497A54"/>
    <w:rsid w:val="004A157C"/>
    <w:rsid w:val="004A1B78"/>
    <w:rsid w:val="004A48CE"/>
    <w:rsid w:val="004A7BCE"/>
    <w:rsid w:val="004A7F46"/>
    <w:rsid w:val="004B0316"/>
    <w:rsid w:val="004B044C"/>
    <w:rsid w:val="004B0506"/>
    <w:rsid w:val="004B1A1C"/>
    <w:rsid w:val="004B2905"/>
    <w:rsid w:val="004B339F"/>
    <w:rsid w:val="004B4307"/>
    <w:rsid w:val="004B4B10"/>
    <w:rsid w:val="004B56DD"/>
    <w:rsid w:val="004B5FA7"/>
    <w:rsid w:val="004B6BC3"/>
    <w:rsid w:val="004B71BF"/>
    <w:rsid w:val="004C10F9"/>
    <w:rsid w:val="004C5544"/>
    <w:rsid w:val="004C70E1"/>
    <w:rsid w:val="004C7165"/>
    <w:rsid w:val="004C7B71"/>
    <w:rsid w:val="004D0BFD"/>
    <w:rsid w:val="004D33F1"/>
    <w:rsid w:val="004D507B"/>
    <w:rsid w:val="004D5C2E"/>
    <w:rsid w:val="004E033E"/>
    <w:rsid w:val="004E05F7"/>
    <w:rsid w:val="004E27AE"/>
    <w:rsid w:val="004E3269"/>
    <w:rsid w:val="004E3382"/>
    <w:rsid w:val="004E58C1"/>
    <w:rsid w:val="004E5A28"/>
    <w:rsid w:val="004E7A3E"/>
    <w:rsid w:val="004E7DFB"/>
    <w:rsid w:val="004E7E9A"/>
    <w:rsid w:val="004F3C09"/>
    <w:rsid w:val="004F5DBB"/>
    <w:rsid w:val="004F6EB2"/>
    <w:rsid w:val="004F7025"/>
    <w:rsid w:val="004F7DF4"/>
    <w:rsid w:val="00500265"/>
    <w:rsid w:val="0050033C"/>
    <w:rsid w:val="005008D1"/>
    <w:rsid w:val="00500E92"/>
    <w:rsid w:val="005013B4"/>
    <w:rsid w:val="00502561"/>
    <w:rsid w:val="0050380D"/>
    <w:rsid w:val="00503CCF"/>
    <w:rsid w:val="00504452"/>
    <w:rsid w:val="00504725"/>
    <w:rsid w:val="005048B5"/>
    <w:rsid w:val="00505074"/>
    <w:rsid w:val="00506CA2"/>
    <w:rsid w:val="005073BE"/>
    <w:rsid w:val="005107AD"/>
    <w:rsid w:val="00510B0E"/>
    <w:rsid w:val="00510CFA"/>
    <w:rsid w:val="00510E6F"/>
    <w:rsid w:val="00511056"/>
    <w:rsid w:val="00511535"/>
    <w:rsid w:val="00511C01"/>
    <w:rsid w:val="0051262E"/>
    <w:rsid w:val="00513BAE"/>
    <w:rsid w:val="00513C59"/>
    <w:rsid w:val="00513E58"/>
    <w:rsid w:val="0051415F"/>
    <w:rsid w:val="00514679"/>
    <w:rsid w:val="00516B74"/>
    <w:rsid w:val="00517355"/>
    <w:rsid w:val="00517447"/>
    <w:rsid w:val="00521A1D"/>
    <w:rsid w:val="00521C7E"/>
    <w:rsid w:val="005224D3"/>
    <w:rsid w:val="0052328F"/>
    <w:rsid w:val="005247F7"/>
    <w:rsid w:val="00524D51"/>
    <w:rsid w:val="005256E3"/>
    <w:rsid w:val="00525E44"/>
    <w:rsid w:val="00525F2B"/>
    <w:rsid w:val="005260A3"/>
    <w:rsid w:val="00526601"/>
    <w:rsid w:val="00526D0B"/>
    <w:rsid w:val="00527460"/>
    <w:rsid w:val="0053264B"/>
    <w:rsid w:val="0053389C"/>
    <w:rsid w:val="00533B67"/>
    <w:rsid w:val="00533D1F"/>
    <w:rsid w:val="0053420A"/>
    <w:rsid w:val="00534511"/>
    <w:rsid w:val="00534AF0"/>
    <w:rsid w:val="00534BC7"/>
    <w:rsid w:val="00535299"/>
    <w:rsid w:val="00535B88"/>
    <w:rsid w:val="00535BC2"/>
    <w:rsid w:val="00535DB2"/>
    <w:rsid w:val="00536517"/>
    <w:rsid w:val="0053670F"/>
    <w:rsid w:val="00536928"/>
    <w:rsid w:val="0053753C"/>
    <w:rsid w:val="00540D3C"/>
    <w:rsid w:val="00541282"/>
    <w:rsid w:val="005415EF"/>
    <w:rsid w:val="00542822"/>
    <w:rsid w:val="005437A8"/>
    <w:rsid w:val="00544351"/>
    <w:rsid w:val="005454B0"/>
    <w:rsid w:val="005455F7"/>
    <w:rsid w:val="00545ABC"/>
    <w:rsid w:val="0054601A"/>
    <w:rsid w:val="0054663B"/>
    <w:rsid w:val="00546996"/>
    <w:rsid w:val="00546E42"/>
    <w:rsid w:val="005477AE"/>
    <w:rsid w:val="00547BD1"/>
    <w:rsid w:val="00547D09"/>
    <w:rsid w:val="005500E6"/>
    <w:rsid w:val="0055020B"/>
    <w:rsid w:val="0055041F"/>
    <w:rsid w:val="00550A0D"/>
    <w:rsid w:val="00550AF9"/>
    <w:rsid w:val="00550BC7"/>
    <w:rsid w:val="00550C28"/>
    <w:rsid w:val="00551BB2"/>
    <w:rsid w:val="00551C61"/>
    <w:rsid w:val="00553139"/>
    <w:rsid w:val="005532FE"/>
    <w:rsid w:val="00553620"/>
    <w:rsid w:val="0055426E"/>
    <w:rsid w:val="005544AC"/>
    <w:rsid w:val="005546A3"/>
    <w:rsid w:val="00554FA5"/>
    <w:rsid w:val="00555189"/>
    <w:rsid w:val="0055591B"/>
    <w:rsid w:val="00560338"/>
    <w:rsid w:val="005619AC"/>
    <w:rsid w:val="00562A7B"/>
    <w:rsid w:val="005658A7"/>
    <w:rsid w:val="005666FE"/>
    <w:rsid w:val="005667EC"/>
    <w:rsid w:val="00566BC7"/>
    <w:rsid w:val="00566E84"/>
    <w:rsid w:val="00566FE8"/>
    <w:rsid w:val="00567B55"/>
    <w:rsid w:val="00567B5C"/>
    <w:rsid w:val="00567DAE"/>
    <w:rsid w:val="00567DEE"/>
    <w:rsid w:val="00570017"/>
    <w:rsid w:val="005700D2"/>
    <w:rsid w:val="00570A47"/>
    <w:rsid w:val="00570EBA"/>
    <w:rsid w:val="00571446"/>
    <w:rsid w:val="00572759"/>
    <w:rsid w:val="00572B9D"/>
    <w:rsid w:val="00572CB7"/>
    <w:rsid w:val="00573D41"/>
    <w:rsid w:val="00573E78"/>
    <w:rsid w:val="005747E5"/>
    <w:rsid w:val="0057505A"/>
    <w:rsid w:val="005758A4"/>
    <w:rsid w:val="00575917"/>
    <w:rsid w:val="005763C1"/>
    <w:rsid w:val="00576B9C"/>
    <w:rsid w:val="0057784D"/>
    <w:rsid w:val="00580BBF"/>
    <w:rsid w:val="00580E43"/>
    <w:rsid w:val="005816A2"/>
    <w:rsid w:val="00582473"/>
    <w:rsid w:val="0058247E"/>
    <w:rsid w:val="00583F01"/>
    <w:rsid w:val="0058410E"/>
    <w:rsid w:val="0058459F"/>
    <w:rsid w:val="00584684"/>
    <w:rsid w:val="00584C91"/>
    <w:rsid w:val="005850DC"/>
    <w:rsid w:val="00586464"/>
    <w:rsid w:val="00590142"/>
    <w:rsid w:val="00590A94"/>
    <w:rsid w:val="00591717"/>
    <w:rsid w:val="005930AA"/>
    <w:rsid w:val="00593453"/>
    <w:rsid w:val="00593474"/>
    <w:rsid w:val="00594164"/>
    <w:rsid w:val="0059692A"/>
    <w:rsid w:val="005A3659"/>
    <w:rsid w:val="005A3867"/>
    <w:rsid w:val="005A3953"/>
    <w:rsid w:val="005A407C"/>
    <w:rsid w:val="005A4FA4"/>
    <w:rsid w:val="005A557A"/>
    <w:rsid w:val="005A6C56"/>
    <w:rsid w:val="005B03F7"/>
    <w:rsid w:val="005B127C"/>
    <w:rsid w:val="005B190E"/>
    <w:rsid w:val="005B1A44"/>
    <w:rsid w:val="005B27B9"/>
    <w:rsid w:val="005B32D0"/>
    <w:rsid w:val="005B3854"/>
    <w:rsid w:val="005B5680"/>
    <w:rsid w:val="005B5A05"/>
    <w:rsid w:val="005B6A2F"/>
    <w:rsid w:val="005B7543"/>
    <w:rsid w:val="005B7C30"/>
    <w:rsid w:val="005C14B5"/>
    <w:rsid w:val="005C2393"/>
    <w:rsid w:val="005C271E"/>
    <w:rsid w:val="005C2D80"/>
    <w:rsid w:val="005C31CE"/>
    <w:rsid w:val="005C44FB"/>
    <w:rsid w:val="005C45FD"/>
    <w:rsid w:val="005C4809"/>
    <w:rsid w:val="005C5A7F"/>
    <w:rsid w:val="005C65D9"/>
    <w:rsid w:val="005D05B2"/>
    <w:rsid w:val="005D083A"/>
    <w:rsid w:val="005D0C61"/>
    <w:rsid w:val="005D1A31"/>
    <w:rsid w:val="005D1F81"/>
    <w:rsid w:val="005D20CC"/>
    <w:rsid w:val="005D2EF2"/>
    <w:rsid w:val="005D59F4"/>
    <w:rsid w:val="005D5D96"/>
    <w:rsid w:val="005D613E"/>
    <w:rsid w:val="005D7E6D"/>
    <w:rsid w:val="005D7FC0"/>
    <w:rsid w:val="005E0013"/>
    <w:rsid w:val="005E03E4"/>
    <w:rsid w:val="005E057C"/>
    <w:rsid w:val="005E09EB"/>
    <w:rsid w:val="005E2B2E"/>
    <w:rsid w:val="005E2F5F"/>
    <w:rsid w:val="005E33B2"/>
    <w:rsid w:val="005E3841"/>
    <w:rsid w:val="005E3D35"/>
    <w:rsid w:val="005E4DAA"/>
    <w:rsid w:val="005E5626"/>
    <w:rsid w:val="005E5F51"/>
    <w:rsid w:val="005E6F26"/>
    <w:rsid w:val="005E7545"/>
    <w:rsid w:val="005F17E8"/>
    <w:rsid w:val="005F1C54"/>
    <w:rsid w:val="005F1E68"/>
    <w:rsid w:val="005F24DB"/>
    <w:rsid w:val="005F3787"/>
    <w:rsid w:val="005F45DF"/>
    <w:rsid w:val="005F5B22"/>
    <w:rsid w:val="005F718A"/>
    <w:rsid w:val="005F73D1"/>
    <w:rsid w:val="005F7A06"/>
    <w:rsid w:val="005F7A24"/>
    <w:rsid w:val="005F7C35"/>
    <w:rsid w:val="00600880"/>
    <w:rsid w:val="00600A43"/>
    <w:rsid w:val="006049D0"/>
    <w:rsid w:val="006050E9"/>
    <w:rsid w:val="006064D3"/>
    <w:rsid w:val="00607734"/>
    <w:rsid w:val="00607E12"/>
    <w:rsid w:val="00610893"/>
    <w:rsid w:val="00610DB8"/>
    <w:rsid w:val="00611C72"/>
    <w:rsid w:val="00611DFF"/>
    <w:rsid w:val="00612AE8"/>
    <w:rsid w:val="0061332E"/>
    <w:rsid w:val="00613F1D"/>
    <w:rsid w:val="0061423E"/>
    <w:rsid w:val="00614F5F"/>
    <w:rsid w:val="00614F6C"/>
    <w:rsid w:val="00615A36"/>
    <w:rsid w:val="00615B54"/>
    <w:rsid w:val="00616187"/>
    <w:rsid w:val="006169C2"/>
    <w:rsid w:val="006171A5"/>
    <w:rsid w:val="006173E6"/>
    <w:rsid w:val="006201C3"/>
    <w:rsid w:val="006202CB"/>
    <w:rsid w:val="006218F9"/>
    <w:rsid w:val="00621B67"/>
    <w:rsid w:val="0062222D"/>
    <w:rsid w:val="00622241"/>
    <w:rsid w:val="006230EE"/>
    <w:rsid w:val="006233F5"/>
    <w:rsid w:val="006250D6"/>
    <w:rsid w:val="0062527E"/>
    <w:rsid w:val="006254B0"/>
    <w:rsid w:val="006260BC"/>
    <w:rsid w:val="0062727A"/>
    <w:rsid w:val="00627626"/>
    <w:rsid w:val="00627756"/>
    <w:rsid w:val="0062785B"/>
    <w:rsid w:val="00627F26"/>
    <w:rsid w:val="006300F5"/>
    <w:rsid w:val="006305F1"/>
    <w:rsid w:val="006308F0"/>
    <w:rsid w:val="00631405"/>
    <w:rsid w:val="00631962"/>
    <w:rsid w:val="00632126"/>
    <w:rsid w:val="0063288E"/>
    <w:rsid w:val="006338F6"/>
    <w:rsid w:val="00633982"/>
    <w:rsid w:val="006340FD"/>
    <w:rsid w:val="00634224"/>
    <w:rsid w:val="00634736"/>
    <w:rsid w:val="00635ED8"/>
    <w:rsid w:val="00636196"/>
    <w:rsid w:val="006361A7"/>
    <w:rsid w:val="0063725A"/>
    <w:rsid w:val="00642009"/>
    <w:rsid w:val="00642605"/>
    <w:rsid w:val="006429B2"/>
    <w:rsid w:val="006430A7"/>
    <w:rsid w:val="006433A1"/>
    <w:rsid w:val="006451C0"/>
    <w:rsid w:val="006469DD"/>
    <w:rsid w:val="00647C56"/>
    <w:rsid w:val="00647CCD"/>
    <w:rsid w:val="006501FE"/>
    <w:rsid w:val="006509AF"/>
    <w:rsid w:val="006516B9"/>
    <w:rsid w:val="00651D6C"/>
    <w:rsid w:val="00651D84"/>
    <w:rsid w:val="006520A9"/>
    <w:rsid w:val="00652B57"/>
    <w:rsid w:val="00652EA2"/>
    <w:rsid w:val="00654947"/>
    <w:rsid w:val="00655302"/>
    <w:rsid w:val="006554DA"/>
    <w:rsid w:val="00657623"/>
    <w:rsid w:val="006579EE"/>
    <w:rsid w:val="00660964"/>
    <w:rsid w:val="006633BA"/>
    <w:rsid w:val="00663769"/>
    <w:rsid w:val="006638E5"/>
    <w:rsid w:val="00663E5D"/>
    <w:rsid w:val="00663F78"/>
    <w:rsid w:val="00665D52"/>
    <w:rsid w:val="00665F5A"/>
    <w:rsid w:val="00666116"/>
    <w:rsid w:val="00670AE4"/>
    <w:rsid w:val="00670FC8"/>
    <w:rsid w:val="006716AC"/>
    <w:rsid w:val="00671A76"/>
    <w:rsid w:val="00672650"/>
    <w:rsid w:val="00673515"/>
    <w:rsid w:val="006737F5"/>
    <w:rsid w:val="00674BC3"/>
    <w:rsid w:val="00674E2A"/>
    <w:rsid w:val="00675806"/>
    <w:rsid w:val="00675B36"/>
    <w:rsid w:val="00675F86"/>
    <w:rsid w:val="00676958"/>
    <w:rsid w:val="00676E33"/>
    <w:rsid w:val="00680A84"/>
    <w:rsid w:val="00681B8C"/>
    <w:rsid w:val="00681D17"/>
    <w:rsid w:val="0068249A"/>
    <w:rsid w:val="0068262A"/>
    <w:rsid w:val="006834F4"/>
    <w:rsid w:val="00684786"/>
    <w:rsid w:val="006850C1"/>
    <w:rsid w:val="006868F3"/>
    <w:rsid w:val="00686AA0"/>
    <w:rsid w:val="006876E5"/>
    <w:rsid w:val="00687C2D"/>
    <w:rsid w:val="00690514"/>
    <w:rsid w:val="00690B23"/>
    <w:rsid w:val="00691F1D"/>
    <w:rsid w:val="00692114"/>
    <w:rsid w:val="006928E5"/>
    <w:rsid w:val="00693DC7"/>
    <w:rsid w:val="00693DF2"/>
    <w:rsid w:val="00694AEC"/>
    <w:rsid w:val="00694D69"/>
    <w:rsid w:val="00695276"/>
    <w:rsid w:val="0069547D"/>
    <w:rsid w:val="0069642D"/>
    <w:rsid w:val="00696A3F"/>
    <w:rsid w:val="006A0347"/>
    <w:rsid w:val="006A29CF"/>
    <w:rsid w:val="006A2F68"/>
    <w:rsid w:val="006A34B7"/>
    <w:rsid w:val="006A45AD"/>
    <w:rsid w:val="006A4702"/>
    <w:rsid w:val="006A512F"/>
    <w:rsid w:val="006A61D9"/>
    <w:rsid w:val="006A6370"/>
    <w:rsid w:val="006A703C"/>
    <w:rsid w:val="006B2629"/>
    <w:rsid w:val="006B2AE5"/>
    <w:rsid w:val="006B2D27"/>
    <w:rsid w:val="006B340E"/>
    <w:rsid w:val="006B388B"/>
    <w:rsid w:val="006B3E85"/>
    <w:rsid w:val="006B5555"/>
    <w:rsid w:val="006B61EA"/>
    <w:rsid w:val="006B6456"/>
    <w:rsid w:val="006B69A0"/>
    <w:rsid w:val="006B7106"/>
    <w:rsid w:val="006B7846"/>
    <w:rsid w:val="006B7BDB"/>
    <w:rsid w:val="006C0325"/>
    <w:rsid w:val="006C184F"/>
    <w:rsid w:val="006C1F3E"/>
    <w:rsid w:val="006C2A50"/>
    <w:rsid w:val="006C2DE2"/>
    <w:rsid w:val="006C30A0"/>
    <w:rsid w:val="006C350B"/>
    <w:rsid w:val="006C42E1"/>
    <w:rsid w:val="006C47EA"/>
    <w:rsid w:val="006C5CCF"/>
    <w:rsid w:val="006C5E36"/>
    <w:rsid w:val="006C6234"/>
    <w:rsid w:val="006C6300"/>
    <w:rsid w:val="006C7AB2"/>
    <w:rsid w:val="006D05A9"/>
    <w:rsid w:val="006D0E39"/>
    <w:rsid w:val="006D1E6F"/>
    <w:rsid w:val="006D1EB1"/>
    <w:rsid w:val="006D255F"/>
    <w:rsid w:val="006D3E56"/>
    <w:rsid w:val="006D59C0"/>
    <w:rsid w:val="006D62ED"/>
    <w:rsid w:val="006D6F76"/>
    <w:rsid w:val="006D727D"/>
    <w:rsid w:val="006E0813"/>
    <w:rsid w:val="006E222A"/>
    <w:rsid w:val="006E2D4B"/>
    <w:rsid w:val="006E35BC"/>
    <w:rsid w:val="006E41D6"/>
    <w:rsid w:val="006E4261"/>
    <w:rsid w:val="006E4EF0"/>
    <w:rsid w:val="006E5518"/>
    <w:rsid w:val="006E5D1C"/>
    <w:rsid w:val="006E5EA1"/>
    <w:rsid w:val="006E654F"/>
    <w:rsid w:val="006E67D4"/>
    <w:rsid w:val="006E75E1"/>
    <w:rsid w:val="006F0097"/>
    <w:rsid w:val="006F06EC"/>
    <w:rsid w:val="006F0CED"/>
    <w:rsid w:val="006F1696"/>
    <w:rsid w:val="006F18C4"/>
    <w:rsid w:val="006F22EC"/>
    <w:rsid w:val="006F2811"/>
    <w:rsid w:val="006F2842"/>
    <w:rsid w:val="006F3712"/>
    <w:rsid w:val="006F411D"/>
    <w:rsid w:val="006F660F"/>
    <w:rsid w:val="006F6F92"/>
    <w:rsid w:val="006F71DE"/>
    <w:rsid w:val="006F773D"/>
    <w:rsid w:val="00700CED"/>
    <w:rsid w:val="0070119E"/>
    <w:rsid w:val="007040CB"/>
    <w:rsid w:val="00704342"/>
    <w:rsid w:val="007054B6"/>
    <w:rsid w:val="0070556A"/>
    <w:rsid w:val="00705FB8"/>
    <w:rsid w:val="007067DE"/>
    <w:rsid w:val="00706B9A"/>
    <w:rsid w:val="007073F4"/>
    <w:rsid w:val="00710BA9"/>
    <w:rsid w:val="00710C5D"/>
    <w:rsid w:val="00710E3F"/>
    <w:rsid w:val="007111A0"/>
    <w:rsid w:val="00711A03"/>
    <w:rsid w:val="00711FF6"/>
    <w:rsid w:val="00714718"/>
    <w:rsid w:val="007165A4"/>
    <w:rsid w:val="007206B6"/>
    <w:rsid w:val="00721811"/>
    <w:rsid w:val="00721ADA"/>
    <w:rsid w:val="00721BBD"/>
    <w:rsid w:val="007221B2"/>
    <w:rsid w:val="00722D04"/>
    <w:rsid w:val="007230D2"/>
    <w:rsid w:val="00723666"/>
    <w:rsid w:val="00723CF3"/>
    <w:rsid w:val="00726C2E"/>
    <w:rsid w:val="007279F9"/>
    <w:rsid w:val="0073006D"/>
    <w:rsid w:val="00730C1C"/>
    <w:rsid w:val="00731C71"/>
    <w:rsid w:val="00731E16"/>
    <w:rsid w:val="00732345"/>
    <w:rsid w:val="00732442"/>
    <w:rsid w:val="00732520"/>
    <w:rsid w:val="00732835"/>
    <w:rsid w:val="007330F5"/>
    <w:rsid w:val="00733303"/>
    <w:rsid w:val="00733B75"/>
    <w:rsid w:val="007340D6"/>
    <w:rsid w:val="0073423A"/>
    <w:rsid w:val="00734317"/>
    <w:rsid w:val="00734A3D"/>
    <w:rsid w:val="00735EE2"/>
    <w:rsid w:val="00737143"/>
    <w:rsid w:val="007375A8"/>
    <w:rsid w:val="00737F45"/>
    <w:rsid w:val="00740CFE"/>
    <w:rsid w:val="00741178"/>
    <w:rsid w:val="00741FC2"/>
    <w:rsid w:val="00743297"/>
    <w:rsid w:val="00743833"/>
    <w:rsid w:val="007439C6"/>
    <w:rsid w:val="00744009"/>
    <w:rsid w:val="00744963"/>
    <w:rsid w:val="00744A54"/>
    <w:rsid w:val="00744CFA"/>
    <w:rsid w:val="007453DC"/>
    <w:rsid w:val="00745C05"/>
    <w:rsid w:val="00745FBF"/>
    <w:rsid w:val="00746894"/>
    <w:rsid w:val="00746CCB"/>
    <w:rsid w:val="0074781A"/>
    <w:rsid w:val="00747B15"/>
    <w:rsid w:val="0075128B"/>
    <w:rsid w:val="00751558"/>
    <w:rsid w:val="00751FE0"/>
    <w:rsid w:val="00752A90"/>
    <w:rsid w:val="00752D98"/>
    <w:rsid w:val="00752E76"/>
    <w:rsid w:val="007532B8"/>
    <w:rsid w:val="007542EB"/>
    <w:rsid w:val="00754B52"/>
    <w:rsid w:val="00754E73"/>
    <w:rsid w:val="00754FCE"/>
    <w:rsid w:val="0075525F"/>
    <w:rsid w:val="007559FA"/>
    <w:rsid w:val="00755B09"/>
    <w:rsid w:val="0075786B"/>
    <w:rsid w:val="00760E97"/>
    <w:rsid w:val="00761852"/>
    <w:rsid w:val="0076219B"/>
    <w:rsid w:val="00762510"/>
    <w:rsid w:val="00762DA8"/>
    <w:rsid w:val="007630DC"/>
    <w:rsid w:val="00763A41"/>
    <w:rsid w:val="00763E40"/>
    <w:rsid w:val="00763FA3"/>
    <w:rsid w:val="00765449"/>
    <w:rsid w:val="00765EC7"/>
    <w:rsid w:val="00767535"/>
    <w:rsid w:val="00767D58"/>
    <w:rsid w:val="007701CE"/>
    <w:rsid w:val="00771349"/>
    <w:rsid w:val="00771AD1"/>
    <w:rsid w:val="007729E5"/>
    <w:rsid w:val="00773428"/>
    <w:rsid w:val="00775460"/>
    <w:rsid w:val="00775557"/>
    <w:rsid w:val="0077588E"/>
    <w:rsid w:val="00776C5B"/>
    <w:rsid w:val="00777169"/>
    <w:rsid w:val="007772CB"/>
    <w:rsid w:val="00777719"/>
    <w:rsid w:val="007808E3"/>
    <w:rsid w:val="0078096E"/>
    <w:rsid w:val="00780C00"/>
    <w:rsid w:val="0078168B"/>
    <w:rsid w:val="00781A3D"/>
    <w:rsid w:val="00782403"/>
    <w:rsid w:val="00782992"/>
    <w:rsid w:val="00782E1E"/>
    <w:rsid w:val="00783B52"/>
    <w:rsid w:val="00784BD5"/>
    <w:rsid w:val="0078700F"/>
    <w:rsid w:val="0078755C"/>
    <w:rsid w:val="0078764D"/>
    <w:rsid w:val="007903FE"/>
    <w:rsid w:val="00790D11"/>
    <w:rsid w:val="007914B0"/>
    <w:rsid w:val="00791F33"/>
    <w:rsid w:val="0079247D"/>
    <w:rsid w:val="00792B6A"/>
    <w:rsid w:val="00793D9F"/>
    <w:rsid w:val="00794603"/>
    <w:rsid w:val="007965A1"/>
    <w:rsid w:val="00796B4A"/>
    <w:rsid w:val="00796CF1"/>
    <w:rsid w:val="0079760A"/>
    <w:rsid w:val="00797DBD"/>
    <w:rsid w:val="007A0B1D"/>
    <w:rsid w:val="007A1270"/>
    <w:rsid w:val="007A24D4"/>
    <w:rsid w:val="007A4628"/>
    <w:rsid w:val="007A5950"/>
    <w:rsid w:val="007A5E5C"/>
    <w:rsid w:val="007A6001"/>
    <w:rsid w:val="007A613A"/>
    <w:rsid w:val="007A6180"/>
    <w:rsid w:val="007A6916"/>
    <w:rsid w:val="007A70CA"/>
    <w:rsid w:val="007A7286"/>
    <w:rsid w:val="007A75F9"/>
    <w:rsid w:val="007B1452"/>
    <w:rsid w:val="007B28F2"/>
    <w:rsid w:val="007B2EBB"/>
    <w:rsid w:val="007B3A22"/>
    <w:rsid w:val="007B4809"/>
    <w:rsid w:val="007B576D"/>
    <w:rsid w:val="007C02B4"/>
    <w:rsid w:val="007C0B45"/>
    <w:rsid w:val="007C0CD5"/>
    <w:rsid w:val="007C13AA"/>
    <w:rsid w:val="007C1882"/>
    <w:rsid w:val="007C1A94"/>
    <w:rsid w:val="007C21DF"/>
    <w:rsid w:val="007C2F5B"/>
    <w:rsid w:val="007C3223"/>
    <w:rsid w:val="007C3887"/>
    <w:rsid w:val="007C3EC5"/>
    <w:rsid w:val="007C4170"/>
    <w:rsid w:val="007C5229"/>
    <w:rsid w:val="007C5335"/>
    <w:rsid w:val="007C540E"/>
    <w:rsid w:val="007C583E"/>
    <w:rsid w:val="007C59F9"/>
    <w:rsid w:val="007C6646"/>
    <w:rsid w:val="007C684D"/>
    <w:rsid w:val="007C7147"/>
    <w:rsid w:val="007C7EEE"/>
    <w:rsid w:val="007D0253"/>
    <w:rsid w:val="007D228C"/>
    <w:rsid w:val="007D2982"/>
    <w:rsid w:val="007D3FA8"/>
    <w:rsid w:val="007D42DB"/>
    <w:rsid w:val="007D583E"/>
    <w:rsid w:val="007D5E7E"/>
    <w:rsid w:val="007D66F9"/>
    <w:rsid w:val="007D6CEA"/>
    <w:rsid w:val="007D6F65"/>
    <w:rsid w:val="007D77A0"/>
    <w:rsid w:val="007D79BC"/>
    <w:rsid w:val="007D7B6C"/>
    <w:rsid w:val="007E0164"/>
    <w:rsid w:val="007E029F"/>
    <w:rsid w:val="007E0410"/>
    <w:rsid w:val="007E1299"/>
    <w:rsid w:val="007E1FAA"/>
    <w:rsid w:val="007E2B0B"/>
    <w:rsid w:val="007E2E2D"/>
    <w:rsid w:val="007E2FB2"/>
    <w:rsid w:val="007E4333"/>
    <w:rsid w:val="007E50F3"/>
    <w:rsid w:val="007E587D"/>
    <w:rsid w:val="007E5B5F"/>
    <w:rsid w:val="007E67CE"/>
    <w:rsid w:val="007E6F84"/>
    <w:rsid w:val="007F011F"/>
    <w:rsid w:val="007F1059"/>
    <w:rsid w:val="007F1E2F"/>
    <w:rsid w:val="007F321B"/>
    <w:rsid w:val="007F34BB"/>
    <w:rsid w:val="007F35CA"/>
    <w:rsid w:val="007F3B3F"/>
    <w:rsid w:val="007F3E21"/>
    <w:rsid w:val="007F4507"/>
    <w:rsid w:val="007F4CAB"/>
    <w:rsid w:val="007F6069"/>
    <w:rsid w:val="007F66CF"/>
    <w:rsid w:val="007F69EA"/>
    <w:rsid w:val="007F7E74"/>
    <w:rsid w:val="00800133"/>
    <w:rsid w:val="00800517"/>
    <w:rsid w:val="00800BF6"/>
    <w:rsid w:val="0080128A"/>
    <w:rsid w:val="008018B5"/>
    <w:rsid w:val="00801922"/>
    <w:rsid w:val="00801E65"/>
    <w:rsid w:val="00802E45"/>
    <w:rsid w:val="00803D62"/>
    <w:rsid w:val="008048FE"/>
    <w:rsid w:val="00805263"/>
    <w:rsid w:val="0080588E"/>
    <w:rsid w:val="00806220"/>
    <w:rsid w:val="00806BB3"/>
    <w:rsid w:val="00806BF1"/>
    <w:rsid w:val="00806F60"/>
    <w:rsid w:val="0081098D"/>
    <w:rsid w:val="008112A7"/>
    <w:rsid w:val="0081165C"/>
    <w:rsid w:val="00811E87"/>
    <w:rsid w:val="0081277A"/>
    <w:rsid w:val="00812AA6"/>
    <w:rsid w:val="00812F3F"/>
    <w:rsid w:val="00813F5E"/>
    <w:rsid w:val="0081492B"/>
    <w:rsid w:val="008149C0"/>
    <w:rsid w:val="0081509A"/>
    <w:rsid w:val="00815824"/>
    <w:rsid w:val="00815C5E"/>
    <w:rsid w:val="00816D95"/>
    <w:rsid w:val="00817501"/>
    <w:rsid w:val="00820BDA"/>
    <w:rsid w:val="00821551"/>
    <w:rsid w:val="008218F4"/>
    <w:rsid w:val="008219E0"/>
    <w:rsid w:val="00822E9E"/>
    <w:rsid w:val="0082335D"/>
    <w:rsid w:val="008236AD"/>
    <w:rsid w:val="0082447D"/>
    <w:rsid w:val="00824904"/>
    <w:rsid w:val="00824E4C"/>
    <w:rsid w:val="00825094"/>
    <w:rsid w:val="00825336"/>
    <w:rsid w:val="00825F46"/>
    <w:rsid w:val="00826795"/>
    <w:rsid w:val="00827B3B"/>
    <w:rsid w:val="00827FAB"/>
    <w:rsid w:val="00827FF6"/>
    <w:rsid w:val="008304CC"/>
    <w:rsid w:val="008311C3"/>
    <w:rsid w:val="00831373"/>
    <w:rsid w:val="00831F48"/>
    <w:rsid w:val="00832FAE"/>
    <w:rsid w:val="008331A1"/>
    <w:rsid w:val="00833592"/>
    <w:rsid w:val="008337B0"/>
    <w:rsid w:val="00834EC8"/>
    <w:rsid w:val="00837057"/>
    <w:rsid w:val="008402AA"/>
    <w:rsid w:val="0084080E"/>
    <w:rsid w:val="008410E1"/>
    <w:rsid w:val="008417B4"/>
    <w:rsid w:val="0084350D"/>
    <w:rsid w:val="00845DB9"/>
    <w:rsid w:val="00847236"/>
    <w:rsid w:val="0084797B"/>
    <w:rsid w:val="00847BFE"/>
    <w:rsid w:val="008502BE"/>
    <w:rsid w:val="008505BA"/>
    <w:rsid w:val="008534C6"/>
    <w:rsid w:val="008539CE"/>
    <w:rsid w:val="00853C40"/>
    <w:rsid w:val="00854F08"/>
    <w:rsid w:val="008564FE"/>
    <w:rsid w:val="0085662F"/>
    <w:rsid w:val="008566B8"/>
    <w:rsid w:val="0085772D"/>
    <w:rsid w:val="008578DD"/>
    <w:rsid w:val="008615B9"/>
    <w:rsid w:val="008616E5"/>
    <w:rsid w:val="00861D49"/>
    <w:rsid w:val="00861DFF"/>
    <w:rsid w:val="00861F07"/>
    <w:rsid w:val="00862308"/>
    <w:rsid w:val="0086300B"/>
    <w:rsid w:val="00863541"/>
    <w:rsid w:val="00863581"/>
    <w:rsid w:val="00863CC9"/>
    <w:rsid w:val="00866427"/>
    <w:rsid w:val="008665F6"/>
    <w:rsid w:val="00867A52"/>
    <w:rsid w:val="00867D2B"/>
    <w:rsid w:val="00870DE7"/>
    <w:rsid w:val="00870F22"/>
    <w:rsid w:val="00871175"/>
    <w:rsid w:val="008714C6"/>
    <w:rsid w:val="00871A44"/>
    <w:rsid w:val="00872305"/>
    <w:rsid w:val="008727BC"/>
    <w:rsid w:val="00872D91"/>
    <w:rsid w:val="008734D8"/>
    <w:rsid w:val="00873A97"/>
    <w:rsid w:val="00873C56"/>
    <w:rsid w:val="00874111"/>
    <w:rsid w:val="00874D5B"/>
    <w:rsid w:val="0087661D"/>
    <w:rsid w:val="00876B0F"/>
    <w:rsid w:val="008818DC"/>
    <w:rsid w:val="00881AEE"/>
    <w:rsid w:val="00881B17"/>
    <w:rsid w:val="008823D5"/>
    <w:rsid w:val="008829CB"/>
    <w:rsid w:val="00882BD6"/>
    <w:rsid w:val="00883045"/>
    <w:rsid w:val="00885C4D"/>
    <w:rsid w:val="0089135C"/>
    <w:rsid w:val="00891424"/>
    <w:rsid w:val="008918D5"/>
    <w:rsid w:val="00892809"/>
    <w:rsid w:val="00892DDD"/>
    <w:rsid w:val="008931A7"/>
    <w:rsid w:val="008934DC"/>
    <w:rsid w:val="00893E5C"/>
    <w:rsid w:val="0089455A"/>
    <w:rsid w:val="00894A62"/>
    <w:rsid w:val="00895570"/>
    <w:rsid w:val="00895993"/>
    <w:rsid w:val="00895DA1"/>
    <w:rsid w:val="00895DD4"/>
    <w:rsid w:val="00895DEA"/>
    <w:rsid w:val="00895FBD"/>
    <w:rsid w:val="008972CB"/>
    <w:rsid w:val="00897740"/>
    <w:rsid w:val="0089778E"/>
    <w:rsid w:val="00897E5C"/>
    <w:rsid w:val="008A0B58"/>
    <w:rsid w:val="008A123F"/>
    <w:rsid w:val="008A1304"/>
    <w:rsid w:val="008A1660"/>
    <w:rsid w:val="008A25E9"/>
    <w:rsid w:val="008A33FF"/>
    <w:rsid w:val="008A3FD0"/>
    <w:rsid w:val="008A453F"/>
    <w:rsid w:val="008A5087"/>
    <w:rsid w:val="008A5FB7"/>
    <w:rsid w:val="008A601C"/>
    <w:rsid w:val="008A6A1D"/>
    <w:rsid w:val="008A6A78"/>
    <w:rsid w:val="008A7FB4"/>
    <w:rsid w:val="008B0AAA"/>
    <w:rsid w:val="008B1A5D"/>
    <w:rsid w:val="008B1AE5"/>
    <w:rsid w:val="008B1E3F"/>
    <w:rsid w:val="008B2142"/>
    <w:rsid w:val="008B322A"/>
    <w:rsid w:val="008B4865"/>
    <w:rsid w:val="008B4879"/>
    <w:rsid w:val="008B4BBD"/>
    <w:rsid w:val="008B59C6"/>
    <w:rsid w:val="008B6083"/>
    <w:rsid w:val="008B636B"/>
    <w:rsid w:val="008B6622"/>
    <w:rsid w:val="008B6985"/>
    <w:rsid w:val="008B74E6"/>
    <w:rsid w:val="008C002B"/>
    <w:rsid w:val="008C1FF8"/>
    <w:rsid w:val="008C1FFF"/>
    <w:rsid w:val="008C29E8"/>
    <w:rsid w:val="008C2D00"/>
    <w:rsid w:val="008C3390"/>
    <w:rsid w:val="008C39DF"/>
    <w:rsid w:val="008C3C01"/>
    <w:rsid w:val="008C3F39"/>
    <w:rsid w:val="008C4634"/>
    <w:rsid w:val="008C5907"/>
    <w:rsid w:val="008C5A07"/>
    <w:rsid w:val="008C63F3"/>
    <w:rsid w:val="008C7CC4"/>
    <w:rsid w:val="008D0B4B"/>
    <w:rsid w:val="008D15B5"/>
    <w:rsid w:val="008D1EDF"/>
    <w:rsid w:val="008D1FDD"/>
    <w:rsid w:val="008D2886"/>
    <w:rsid w:val="008D2C28"/>
    <w:rsid w:val="008D33A1"/>
    <w:rsid w:val="008D38E7"/>
    <w:rsid w:val="008D4AE8"/>
    <w:rsid w:val="008D53B1"/>
    <w:rsid w:val="008D5B17"/>
    <w:rsid w:val="008D641D"/>
    <w:rsid w:val="008D6B67"/>
    <w:rsid w:val="008D6BDD"/>
    <w:rsid w:val="008D6D11"/>
    <w:rsid w:val="008D6DD0"/>
    <w:rsid w:val="008D71F7"/>
    <w:rsid w:val="008D735F"/>
    <w:rsid w:val="008E006B"/>
    <w:rsid w:val="008E1A9A"/>
    <w:rsid w:val="008E1CA3"/>
    <w:rsid w:val="008E233A"/>
    <w:rsid w:val="008E2E62"/>
    <w:rsid w:val="008E358A"/>
    <w:rsid w:val="008E3752"/>
    <w:rsid w:val="008E38BB"/>
    <w:rsid w:val="008E3A64"/>
    <w:rsid w:val="008E4CCE"/>
    <w:rsid w:val="008E5C93"/>
    <w:rsid w:val="008E6298"/>
    <w:rsid w:val="008E78BC"/>
    <w:rsid w:val="008F0401"/>
    <w:rsid w:val="008F142C"/>
    <w:rsid w:val="008F1546"/>
    <w:rsid w:val="008F23ED"/>
    <w:rsid w:val="008F3839"/>
    <w:rsid w:val="008F40C1"/>
    <w:rsid w:val="008F4B59"/>
    <w:rsid w:val="008F5C14"/>
    <w:rsid w:val="008F5EB7"/>
    <w:rsid w:val="008F6820"/>
    <w:rsid w:val="008F69A4"/>
    <w:rsid w:val="00900BDD"/>
    <w:rsid w:val="00901D21"/>
    <w:rsid w:val="00901E14"/>
    <w:rsid w:val="00901E6F"/>
    <w:rsid w:val="009025AF"/>
    <w:rsid w:val="00902979"/>
    <w:rsid w:val="00902C5D"/>
    <w:rsid w:val="00902E0C"/>
    <w:rsid w:val="00903164"/>
    <w:rsid w:val="00903D07"/>
    <w:rsid w:val="00904053"/>
    <w:rsid w:val="0090408A"/>
    <w:rsid w:val="0090516B"/>
    <w:rsid w:val="00905309"/>
    <w:rsid w:val="009056C2"/>
    <w:rsid w:val="00905758"/>
    <w:rsid w:val="00905852"/>
    <w:rsid w:val="0090635C"/>
    <w:rsid w:val="0090753D"/>
    <w:rsid w:val="0091170F"/>
    <w:rsid w:val="00912FBC"/>
    <w:rsid w:val="0091360D"/>
    <w:rsid w:val="00913CBF"/>
    <w:rsid w:val="00914221"/>
    <w:rsid w:val="00914529"/>
    <w:rsid w:val="0091514B"/>
    <w:rsid w:val="0091536F"/>
    <w:rsid w:val="009158FB"/>
    <w:rsid w:val="00915FB6"/>
    <w:rsid w:val="009162EC"/>
    <w:rsid w:val="0091636E"/>
    <w:rsid w:val="0091772B"/>
    <w:rsid w:val="0091789F"/>
    <w:rsid w:val="009202A9"/>
    <w:rsid w:val="009207AA"/>
    <w:rsid w:val="0092176F"/>
    <w:rsid w:val="00922E49"/>
    <w:rsid w:val="00922F8B"/>
    <w:rsid w:val="009232E1"/>
    <w:rsid w:val="0092444A"/>
    <w:rsid w:val="00925F7D"/>
    <w:rsid w:val="00925FC7"/>
    <w:rsid w:val="00926094"/>
    <w:rsid w:val="00926547"/>
    <w:rsid w:val="00926D1D"/>
    <w:rsid w:val="009272BC"/>
    <w:rsid w:val="00931122"/>
    <w:rsid w:val="009312E2"/>
    <w:rsid w:val="0093136A"/>
    <w:rsid w:val="00931A62"/>
    <w:rsid w:val="00931F34"/>
    <w:rsid w:val="00932D6F"/>
    <w:rsid w:val="009331A5"/>
    <w:rsid w:val="00933237"/>
    <w:rsid w:val="00933239"/>
    <w:rsid w:val="0093360D"/>
    <w:rsid w:val="00933951"/>
    <w:rsid w:val="00935935"/>
    <w:rsid w:val="00937418"/>
    <w:rsid w:val="009424F3"/>
    <w:rsid w:val="009428A6"/>
    <w:rsid w:val="00942ECB"/>
    <w:rsid w:val="0094461A"/>
    <w:rsid w:val="00944DB7"/>
    <w:rsid w:val="0094578E"/>
    <w:rsid w:val="00945C5F"/>
    <w:rsid w:val="00945F75"/>
    <w:rsid w:val="00946287"/>
    <w:rsid w:val="009471B6"/>
    <w:rsid w:val="00950496"/>
    <w:rsid w:val="009505CF"/>
    <w:rsid w:val="009508D9"/>
    <w:rsid w:val="00950B93"/>
    <w:rsid w:val="00950C53"/>
    <w:rsid w:val="009531B2"/>
    <w:rsid w:val="009548FE"/>
    <w:rsid w:val="00956163"/>
    <w:rsid w:val="00956228"/>
    <w:rsid w:val="00956372"/>
    <w:rsid w:val="00956B0B"/>
    <w:rsid w:val="009570E5"/>
    <w:rsid w:val="0096150D"/>
    <w:rsid w:val="0096155D"/>
    <w:rsid w:val="00961817"/>
    <w:rsid w:val="009621AD"/>
    <w:rsid w:val="009622AB"/>
    <w:rsid w:val="00962C5D"/>
    <w:rsid w:val="00965AEF"/>
    <w:rsid w:val="00966C53"/>
    <w:rsid w:val="00970F6F"/>
    <w:rsid w:val="009713B0"/>
    <w:rsid w:val="009719FC"/>
    <w:rsid w:val="00974A97"/>
    <w:rsid w:val="00975AA1"/>
    <w:rsid w:val="00976967"/>
    <w:rsid w:val="00976BDB"/>
    <w:rsid w:val="00980048"/>
    <w:rsid w:val="0098048E"/>
    <w:rsid w:val="00980680"/>
    <w:rsid w:val="00980824"/>
    <w:rsid w:val="00980AA3"/>
    <w:rsid w:val="00981587"/>
    <w:rsid w:val="009824CE"/>
    <w:rsid w:val="00982790"/>
    <w:rsid w:val="009827E7"/>
    <w:rsid w:val="00982A9F"/>
    <w:rsid w:val="00982B83"/>
    <w:rsid w:val="0098442D"/>
    <w:rsid w:val="00984AB5"/>
    <w:rsid w:val="00984EBC"/>
    <w:rsid w:val="009868DC"/>
    <w:rsid w:val="0098716D"/>
    <w:rsid w:val="00987B98"/>
    <w:rsid w:val="00987BD0"/>
    <w:rsid w:val="009908FD"/>
    <w:rsid w:val="00991945"/>
    <w:rsid w:val="0099198E"/>
    <w:rsid w:val="00991A84"/>
    <w:rsid w:val="00992135"/>
    <w:rsid w:val="009924F8"/>
    <w:rsid w:val="00992613"/>
    <w:rsid w:val="0099296A"/>
    <w:rsid w:val="0099325D"/>
    <w:rsid w:val="00993651"/>
    <w:rsid w:val="009943D5"/>
    <w:rsid w:val="009949C3"/>
    <w:rsid w:val="00994E08"/>
    <w:rsid w:val="00994FD6"/>
    <w:rsid w:val="00997F83"/>
    <w:rsid w:val="009A0585"/>
    <w:rsid w:val="009A1744"/>
    <w:rsid w:val="009A433A"/>
    <w:rsid w:val="009A435A"/>
    <w:rsid w:val="009A5909"/>
    <w:rsid w:val="009A63F7"/>
    <w:rsid w:val="009A65B3"/>
    <w:rsid w:val="009A6C8A"/>
    <w:rsid w:val="009A77C1"/>
    <w:rsid w:val="009B0054"/>
    <w:rsid w:val="009B00EA"/>
    <w:rsid w:val="009B12DF"/>
    <w:rsid w:val="009B1D87"/>
    <w:rsid w:val="009B1E87"/>
    <w:rsid w:val="009B2093"/>
    <w:rsid w:val="009B2247"/>
    <w:rsid w:val="009B23FB"/>
    <w:rsid w:val="009B3348"/>
    <w:rsid w:val="009B420A"/>
    <w:rsid w:val="009B4472"/>
    <w:rsid w:val="009B5D9C"/>
    <w:rsid w:val="009B6B76"/>
    <w:rsid w:val="009B7E92"/>
    <w:rsid w:val="009C01E2"/>
    <w:rsid w:val="009C19FE"/>
    <w:rsid w:val="009C1D9D"/>
    <w:rsid w:val="009C2693"/>
    <w:rsid w:val="009C2BC2"/>
    <w:rsid w:val="009C2C53"/>
    <w:rsid w:val="009C3079"/>
    <w:rsid w:val="009C3407"/>
    <w:rsid w:val="009C3476"/>
    <w:rsid w:val="009C395A"/>
    <w:rsid w:val="009C46F1"/>
    <w:rsid w:val="009C587D"/>
    <w:rsid w:val="009C6797"/>
    <w:rsid w:val="009C6E56"/>
    <w:rsid w:val="009D062C"/>
    <w:rsid w:val="009D1390"/>
    <w:rsid w:val="009D1676"/>
    <w:rsid w:val="009D25AF"/>
    <w:rsid w:val="009D316F"/>
    <w:rsid w:val="009D327F"/>
    <w:rsid w:val="009D4152"/>
    <w:rsid w:val="009D461D"/>
    <w:rsid w:val="009D468E"/>
    <w:rsid w:val="009D4AF9"/>
    <w:rsid w:val="009D4D0C"/>
    <w:rsid w:val="009D717A"/>
    <w:rsid w:val="009D770D"/>
    <w:rsid w:val="009D7C21"/>
    <w:rsid w:val="009D7FDF"/>
    <w:rsid w:val="009E107A"/>
    <w:rsid w:val="009E30F2"/>
    <w:rsid w:val="009E365A"/>
    <w:rsid w:val="009E3CC1"/>
    <w:rsid w:val="009E3F98"/>
    <w:rsid w:val="009E5034"/>
    <w:rsid w:val="009E50D7"/>
    <w:rsid w:val="009E65ED"/>
    <w:rsid w:val="009E7D05"/>
    <w:rsid w:val="009E7F26"/>
    <w:rsid w:val="009F0079"/>
    <w:rsid w:val="009F0229"/>
    <w:rsid w:val="009F0644"/>
    <w:rsid w:val="009F076E"/>
    <w:rsid w:val="009F0A61"/>
    <w:rsid w:val="009F0C6B"/>
    <w:rsid w:val="009F14BD"/>
    <w:rsid w:val="009F4412"/>
    <w:rsid w:val="009F4E30"/>
    <w:rsid w:val="009F60F1"/>
    <w:rsid w:val="009F62D1"/>
    <w:rsid w:val="009F709E"/>
    <w:rsid w:val="009F70CE"/>
    <w:rsid w:val="009F71A0"/>
    <w:rsid w:val="009F730A"/>
    <w:rsid w:val="00A001AD"/>
    <w:rsid w:val="00A00461"/>
    <w:rsid w:val="00A0140D"/>
    <w:rsid w:val="00A01B84"/>
    <w:rsid w:val="00A01BAE"/>
    <w:rsid w:val="00A020F3"/>
    <w:rsid w:val="00A022C2"/>
    <w:rsid w:val="00A03125"/>
    <w:rsid w:val="00A031CF"/>
    <w:rsid w:val="00A03B8C"/>
    <w:rsid w:val="00A046EB"/>
    <w:rsid w:val="00A04EAC"/>
    <w:rsid w:val="00A055DD"/>
    <w:rsid w:val="00A05AC6"/>
    <w:rsid w:val="00A063E9"/>
    <w:rsid w:val="00A0760A"/>
    <w:rsid w:val="00A11EC4"/>
    <w:rsid w:val="00A12B9E"/>
    <w:rsid w:val="00A12D9E"/>
    <w:rsid w:val="00A12DE6"/>
    <w:rsid w:val="00A13E00"/>
    <w:rsid w:val="00A142AD"/>
    <w:rsid w:val="00A148A6"/>
    <w:rsid w:val="00A14DC4"/>
    <w:rsid w:val="00A153FA"/>
    <w:rsid w:val="00A15623"/>
    <w:rsid w:val="00A16A92"/>
    <w:rsid w:val="00A17987"/>
    <w:rsid w:val="00A207DF"/>
    <w:rsid w:val="00A20896"/>
    <w:rsid w:val="00A20BF5"/>
    <w:rsid w:val="00A21525"/>
    <w:rsid w:val="00A21B91"/>
    <w:rsid w:val="00A21C5E"/>
    <w:rsid w:val="00A23906"/>
    <w:rsid w:val="00A23E0C"/>
    <w:rsid w:val="00A24075"/>
    <w:rsid w:val="00A2422C"/>
    <w:rsid w:val="00A24415"/>
    <w:rsid w:val="00A24776"/>
    <w:rsid w:val="00A256FF"/>
    <w:rsid w:val="00A30BAB"/>
    <w:rsid w:val="00A30BC7"/>
    <w:rsid w:val="00A3115E"/>
    <w:rsid w:val="00A312F4"/>
    <w:rsid w:val="00A31CA9"/>
    <w:rsid w:val="00A32075"/>
    <w:rsid w:val="00A332F3"/>
    <w:rsid w:val="00A3392C"/>
    <w:rsid w:val="00A34837"/>
    <w:rsid w:val="00A3485F"/>
    <w:rsid w:val="00A349A0"/>
    <w:rsid w:val="00A34DC5"/>
    <w:rsid w:val="00A35D69"/>
    <w:rsid w:val="00A3600A"/>
    <w:rsid w:val="00A37227"/>
    <w:rsid w:val="00A372F1"/>
    <w:rsid w:val="00A404A3"/>
    <w:rsid w:val="00A434D3"/>
    <w:rsid w:val="00A4472B"/>
    <w:rsid w:val="00A45589"/>
    <w:rsid w:val="00A464A9"/>
    <w:rsid w:val="00A46F5A"/>
    <w:rsid w:val="00A47436"/>
    <w:rsid w:val="00A47E53"/>
    <w:rsid w:val="00A47E92"/>
    <w:rsid w:val="00A50E4C"/>
    <w:rsid w:val="00A51169"/>
    <w:rsid w:val="00A51C32"/>
    <w:rsid w:val="00A520B1"/>
    <w:rsid w:val="00A529AC"/>
    <w:rsid w:val="00A52B4A"/>
    <w:rsid w:val="00A5329B"/>
    <w:rsid w:val="00A5331F"/>
    <w:rsid w:val="00A53E9F"/>
    <w:rsid w:val="00A54357"/>
    <w:rsid w:val="00A57234"/>
    <w:rsid w:val="00A5752D"/>
    <w:rsid w:val="00A57538"/>
    <w:rsid w:val="00A578A5"/>
    <w:rsid w:val="00A6039C"/>
    <w:rsid w:val="00A60420"/>
    <w:rsid w:val="00A60628"/>
    <w:rsid w:val="00A607F7"/>
    <w:rsid w:val="00A60999"/>
    <w:rsid w:val="00A60B65"/>
    <w:rsid w:val="00A61616"/>
    <w:rsid w:val="00A6217A"/>
    <w:rsid w:val="00A640B8"/>
    <w:rsid w:val="00A642C3"/>
    <w:rsid w:val="00A64765"/>
    <w:rsid w:val="00A65AA3"/>
    <w:rsid w:val="00A66463"/>
    <w:rsid w:val="00A67044"/>
    <w:rsid w:val="00A67AFA"/>
    <w:rsid w:val="00A67F28"/>
    <w:rsid w:val="00A700C3"/>
    <w:rsid w:val="00A70A1D"/>
    <w:rsid w:val="00A70D27"/>
    <w:rsid w:val="00A7181A"/>
    <w:rsid w:val="00A718E0"/>
    <w:rsid w:val="00A71A7D"/>
    <w:rsid w:val="00A720FA"/>
    <w:rsid w:val="00A7282A"/>
    <w:rsid w:val="00A72DE1"/>
    <w:rsid w:val="00A72F29"/>
    <w:rsid w:val="00A73174"/>
    <w:rsid w:val="00A7350B"/>
    <w:rsid w:val="00A74136"/>
    <w:rsid w:val="00A748D3"/>
    <w:rsid w:val="00A75565"/>
    <w:rsid w:val="00A756EF"/>
    <w:rsid w:val="00A76316"/>
    <w:rsid w:val="00A7737B"/>
    <w:rsid w:val="00A77CBB"/>
    <w:rsid w:val="00A8050A"/>
    <w:rsid w:val="00A809F1"/>
    <w:rsid w:val="00A8117C"/>
    <w:rsid w:val="00A812E6"/>
    <w:rsid w:val="00A81429"/>
    <w:rsid w:val="00A82312"/>
    <w:rsid w:val="00A82567"/>
    <w:rsid w:val="00A83383"/>
    <w:rsid w:val="00A837AB"/>
    <w:rsid w:val="00A83C40"/>
    <w:rsid w:val="00A83FA1"/>
    <w:rsid w:val="00A84103"/>
    <w:rsid w:val="00A84238"/>
    <w:rsid w:val="00A84459"/>
    <w:rsid w:val="00A84481"/>
    <w:rsid w:val="00A86900"/>
    <w:rsid w:val="00A86AAA"/>
    <w:rsid w:val="00A87892"/>
    <w:rsid w:val="00A87F05"/>
    <w:rsid w:val="00A90B89"/>
    <w:rsid w:val="00A90D40"/>
    <w:rsid w:val="00A916D3"/>
    <w:rsid w:val="00A91D58"/>
    <w:rsid w:val="00A92B64"/>
    <w:rsid w:val="00A94722"/>
    <w:rsid w:val="00A948A6"/>
    <w:rsid w:val="00A94AE6"/>
    <w:rsid w:val="00A95AC2"/>
    <w:rsid w:val="00A97FB7"/>
    <w:rsid w:val="00AA0825"/>
    <w:rsid w:val="00AA1734"/>
    <w:rsid w:val="00AA1E8D"/>
    <w:rsid w:val="00AA25B8"/>
    <w:rsid w:val="00AA34F3"/>
    <w:rsid w:val="00AA3693"/>
    <w:rsid w:val="00AA394D"/>
    <w:rsid w:val="00AA417B"/>
    <w:rsid w:val="00AA455E"/>
    <w:rsid w:val="00AA4637"/>
    <w:rsid w:val="00AA5395"/>
    <w:rsid w:val="00AA566D"/>
    <w:rsid w:val="00AA7858"/>
    <w:rsid w:val="00AA7879"/>
    <w:rsid w:val="00AB0657"/>
    <w:rsid w:val="00AB0D19"/>
    <w:rsid w:val="00AB0F43"/>
    <w:rsid w:val="00AB1EDB"/>
    <w:rsid w:val="00AB2536"/>
    <w:rsid w:val="00AB2E1D"/>
    <w:rsid w:val="00AB319A"/>
    <w:rsid w:val="00AB3997"/>
    <w:rsid w:val="00AB478E"/>
    <w:rsid w:val="00AB5163"/>
    <w:rsid w:val="00AB5450"/>
    <w:rsid w:val="00AB60FD"/>
    <w:rsid w:val="00AB7809"/>
    <w:rsid w:val="00AC0160"/>
    <w:rsid w:val="00AC0A04"/>
    <w:rsid w:val="00AC0E1D"/>
    <w:rsid w:val="00AC2234"/>
    <w:rsid w:val="00AC244B"/>
    <w:rsid w:val="00AC3E61"/>
    <w:rsid w:val="00AC7CB6"/>
    <w:rsid w:val="00AD0464"/>
    <w:rsid w:val="00AD05C7"/>
    <w:rsid w:val="00AD1E0C"/>
    <w:rsid w:val="00AD3DBA"/>
    <w:rsid w:val="00AD4792"/>
    <w:rsid w:val="00AD48D7"/>
    <w:rsid w:val="00AD4DF5"/>
    <w:rsid w:val="00AD50C4"/>
    <w:rsid w:val="00AD6178"/>
    <w:rsid w:val="00AD6470"/>
    <w:rsid w:val="00AD6F71"/>
    <w:rsid w:val="00AD7766"/>
    <w:rsid w:val="00AD7894"/>
    <w:rsid w:val="00AE0286"/>
    <w:rsid w:val="00AE0970"/>
    <w:rsid w:val="00AE2819"/>
    <w:rsid w:val="00AE294A"/>
    <w:rsid w:val="00AE2B00"/>
    <w:rsid w:val="00AE2E31"/>
    <w:rsid w:val="00AE37C2"/>
    <w:rsid w:val="00AE39BA"/>
    <w:rsid w:val="00AE3E11"/>
    <w:rsid w:val="00AE4929"/>
    <w:rsid w:val="00AE6858"/>
    <w:rsid w:val="00AE73D4"/>
    <w:rsid w:val="00AE763A"/>
    <w:rsid w:val="00AE7D2A"/>
    <w:rsid w:val="00AF0211"/>
    <w:rsid w:val="00AF2334"/>
    <w:rsid w:val="00AF2E8C"/>
    <w:rsid w:val="00AF391B"/>
    <w:rsid w:val="00AF43F7"/>
    <w:rsid w:val="00AF46A6"/>
    <w:rsid w:val="00AF4942"/>
    <w:rsid w:val="00AF4CAB"/>
    <w:rsid w:val="00AF6817"/>
    <w:rsid w:val="00AF6E60"/>
    <w:rsid w:val="00AF794F"/>
    <w:rsid w:val="00AF7A1C"/>
    <w:rsid w:val="00B00FA1"/>
    <w:rsid w:val="00B0133C"/>
    <w:rsid w:val="00B0188C"/>
    <w:rsid w:val="00B01DC8"/>
    <w:rsid w:val="00B01F7C"/>
    <w:rsid w:val="00B026CC"/>
    <w:rsid w:val="00B037BA"/>
    <w:rsid w:val="00B04C85"/>
    <w:rsid w:val="00B04D92"/>
    <w:rsid w:val="00B06611"/>
    <w:rsid w:val="00B06EE7"/>
    <w:rsid w:val="00B06F5B"/>
    <w:rsid w:val="00B06F6D"/>
    <w:rsid w:val="00B10152"/>
    <w:rsid w:val="00B10DDD"/>
    <w:rsid w:val="00B10E1B"/>
    <w:rsid w:val="00B1122B"/>
    <w:rsid w:val="00B115B7"/>
    <w:rsid w:val="00B11764"/>
    <w:rsid w:val="00B11802"/>
    <w:rsid w:val="00B119A1"/>
    <w:rsid w:val="00B12FF3"/>
    <w:rsid w:val="00B1351E"/>
    <w:rsid w:val="00B1440A"/>
    <w:rsid w:val="00B145CB"/>
    <w:rsid w:val="00B1552C"/>
    <w:rsid w:val="00B1622E"/>
    <w:rsid w:val="00B17188"/>
    <w:rsid w:val="00B17A95"/>
    <w:rsid w:val="00B17BB6"/>
    <w:rsid w:val="00B204E6"/>
    <w:rsid w:val="00B205EB"/>
    <w:rsid w:val="00B212DD"/>
    <w:rsid w:val="00B22A0A"/>
    <w:rsid w:val="00B22D3D"/>
    <w:rsid w:val="00B23264"/>
    <w:rsid w:val="00B238D7"/>
    <w:rsid w:val="00B25260"/>
    <w:rsid w:val="00B2629D"/>
    <w:rsid w:val="00B27A58"/>
    <w:rsid w:val="00B3019D"/>
    <w:rsid w:val="00B31379"/>
    <w:rsid w:val="00B316B7"/>
    <w:rsid w:val="00B31C4F"/>
    <w:rsid w:val="00B32A0B"/>
    <w:rsid w:val="00B33216"/>
    <w:rsid w:val="00B3424C"/>
    <w:rsid w:val="00B354CF"/>
    <w:rsid w:val="00B3559C"/>
    <w:rsid w:val="00B36154"/>
    <w:rsid w:val="00B36334"/>
    <w:rsid w:val="00B3668B"/>
    <w:rsid w:val="00B3693D"/>
    <w:rsid w:val="00B3767B"/>
    <w:rsid w:val="00B37B1D"/>
    <w:rsid w:val="00B4127F"/>
    <w:rsid w:val="00B41283"/>
    <w:rsid w:val="00B41C51"/>
    <w:rsid w:val="00B4251A"/>
    <w:rsid w:val="00B433DE"/>
    <w:rsid w:val="00B43C1A"/>
    <w:rsid w:val="00B461BA"/>
    <w:rsid w:val="00B467B9"/>
    <w:rsid w:val="00B4697F"/>
    <w:rsid w:val="00B479A6"/>
    <w:rsid w:val="00B5108A"/>
    <w:rsid w:val="00B51458"/>
    <w:rsid w:val="00B51DC5"/>
    <w:rsid w:val="00B53209"/>
    <w:rsid w:val="00B53AE9"/>
    <w:rsid w:val="00B54969"/>
    <w:rsid w:val="00B550A3"/>
    <w:rsid w:val="00B557BA"/>
    <w:rsid w:val="00B56525"/>
    <w:rsid w:val="00B5653D"/>
    <w:rsid w:val="00B577CE"/>
    <w:rsid w:val="00B57A9A"/>
    <w:rsid w:val="00B6024A"/>
    <w:rsid w:val="00B60B3C"/>
    <w:rsid w:val="00B63B4E"/>
    <w:rsid w:val="00B64645"/>
    <w:rsid w:val="00B64D34"/>
    <w:rsid w:val="00B65309"/>
    <w:rsid w:val="00B658D8"/>
    <w:rsid w:val="00B6640C"/>
    <w:rsid w:val="00B66615"/>
    <w:rsid w:val="00B676EC"/>
    <w:rsid w:val="00B70833"/>
    <w:rsid w:val="00B70E11"/>
    <w:rsid w:val="00B70E43"/>
    <w:rsid w:val="00B714EB"/>
    <w:rsid w:val="00B716E3"/>
    <w:rsid w:val="00B71B40"/>
    <w:rsid w:val="00B72887"/>
    <w:rsid w:val="00B74977"/>
    <w:rsid w:val="00B75CC2"/>
    <w:rsid w:val="00B76691"/>
    <w:rsid w:val="00B81AE9"/>
    <w:rsid w:val="00B8241A"/>
    <w:rsid w:val="00B827D5"/>
    <w:rsid w:val="00B82A08"/>
    <w:rsid w:val="00B83D2F"/>
    <w:rsid w:val="00B85C51"/>
    <w:rsid w:val="00B8636D"/>
    <w:rsid w:val="00B8658F"/>
    <w:rsid w:val="00B866CB"/>
    <w:rsid w:val="00B875DB"/>
    <w:rsid w:val="00B87B76"/>
    <w:rsid w:val="00B920B7"/>
    <w:rsid w:val="00B921E8"/>
    <w:rsid w:val="00B92ECB"/>
    <w:rsid w:val="00B93897"/>
    <w:rsid w:val="00B9481A"/>
    <w:rsid w:val="00B94DDB"/>
    <w:rsid w:val="00B95846"/>
    <w:rsid w:val="00B95CE7"/>
    <w:rsid w:val="00B95D64"/>
    <w:rsid w:val="00B95FB9"/>
    <w:rsid w:val="00B96502"/>
    <w:rsid w:val="00BA031A"/>
    <w:rsid w:val="00BA0C1D"/>
    <w:rsid w:val="00BA19A8"/>
    <w:rsid w:val="00BA2F32"/>
    <w:rsid w:val="00BA445C"/>
    <w:rsid w:val="00BA5069"/>
    <w:rsid w:val="00BA55C3"/>
    <w:rsid w:val="00BA59A4"/>
    <w:rsid w:val="00BA5A6B"/>
    <w:rsid w:val="00BA7787"/>
    <w:rsid w:val="00BA7A27"/>
    <w:rsid w:val="00BB0205"/>
    <w:rsid w:val="00BB031F"/>
    <w:rsid w:val="00BB0370"/>
    <w:rsid w:val="00BB1381"/>
    <w:rsid w:val="00BB1549"/>
    <w:rsid w:val="00BB204A"/>
    <w:rsid w:val="00BB2967"/>
    <w:rsid w:val="00BB2DB9"/>
    <w:rsid w:val="00BB2F27"/>
    <w:rsid w:val="00BB2FD3"/>
    <w:rsid w:val="00BB31D4"/>
    <w:rsid w:val="00BB3CA1"/>
    <w:rsid w:val="00BB4627"/>
    <w:rsid w:val="00BB4BF0"/>
    <w:rsid w:val="00BB5715"/>
    <w:rsid w:val="00BB5D34"/>
    <w:rsid w:val="00BB651F"/>
    <w:rsid w:val="00BB6C48"/>
    <w:rsid w:val="00BB7649"/>
    <w:rsid w:val="00BB79FF"/>
    <w:rsid w:val="00BC0AA2"/>
    <w:rsid w:val="00BC0E1E"/>
    <w:rsid w:val="00BC0FEA"/>
    <w:rsid w:val="00BC21A3"/>
    <w:rsid w:val="00BC247D"/>
    <w:rsid w:val="00BC260B"/>
    <w:rsid w:val="00BC29DB"/>
    <w:rsid w:val="00BC30B7"/>
    <w:rsid w:val="00BC3602"/>
    <w:rsid w:val="00BC53B8"/>
    <w:rsid w:val="00BC5AEB"/>
    <w:rsid w:val="00BC5C8D"/>
    <w:rsid w:val="00BC61FA"/>
    <w:rsid w:val="00BC77D4"/>
    <w:rsid w:val="00BC7B21"/>
    <w:rsid w:val="00BD046A"/>
    <w:rsid w:val="00BD0907"/>
    <w:rsid w:val="00BD0F74"/>
    <w:rsid w:val="00BD2426"/>
    <w:rsid w:val="00BD3B90"/>
    <w:rsid w:val="00BD3D2C"/>
    <w:rsid w:val="00BD45C5"/>
    <w:rsid w:val="00BD5AAE"/>
    <w:rsid w:val="00BD5B0C"/>
    <w:rsid w:val="00BD6991"/>
    <w:rsid w:val="00BD6DF1"/>
    <w:rsid w:val="00BD759D"/>
    <w:rsid w:val="00BD7ED3"/>
    <w:rsid w:val="00BE0FCE"/>
    <w:rsid w:val="00BE1BC3"/>
    <w:rsid w:val="00BE243D"/>
    <w:rsid w:val="00BE2639"/>
    <w:rsid w:val="00BE3183"/>
    <w:rsid w:val="00BE44CC"/>
    <w:rsid w:val="00BE46AC"/>
    <w:rsid w:val="00BE4E89"/>
    <w:rsid w:val="00BE5484"/>
    <w:rsid w:val="00BE5C7C"/>
    <w:rsid w:val="00BE6018"/>
    <w:rsid w:val="00BE6080"/>
    <w:rsid w:val="00BE60CF"/>
    <w:rsid w:val="00BE704A"/>
    <w:rsid w:val="00BF0570"/>
    <w:rsid w:val="00BF0E4C"/>
    <w:rsid w:val="00BF0ECB"/>
    <w:rsid w:val="00BF17D9"/>
    <w:rsid w:val="00BF1D14"/>
    <w:rsid w:val="00BF1F2C"/>
    <w:rsid w:val="00BF2D4A"/>
    <w:rsid w:val="00BF3690"/>
    <w:rsid w:val="00BF3941"/>
    <w:rsid w:val="00BF3FEF"/>
    <w:rsid w:val="00BF4E04"/>
    <w:rsid w:val="00BF4E0B"/>
    <w:rsid w:val="00BF5252"/>
    <w:rsid w:val="00BF54BB"/>
    <w:rsid w:val="00BF5773"/>
    <w:rsid w:val="00BF6C9C"/>
    <w:rsid w:val="00BF6E73"/>
    <w:rsid w:val="00BF70CA"/>
    <w:rsid w:val="00BF71C0"/>
    <w:rsid w:val="00BF73C3"/>
    <w:rsid w:val="00C002FC"/>
    <w:rsid w:val="00C006E7"/>
    <w:rsid w:val="00C01629"/>
    <w:rsid w:val="00C0290F"/>
    <w:rsid w:val="00C02B7E"/>
    <w:rsid w:val="00C04AB9"/>
    <w:rsid w:val="00C04BC1"/>
    <w:rsid w:val="00C04E15"/>
    <w:rsid w:val="00C05030"/>
    <w:rsid w:val="00C050CD"/>
    <w:rsid w:val="00C0592A"/>
    <w:rsid w:val="00C06A5A"/>
    <w:rsid w:val="00C06EA7"/>
    <w:rsid w:val="00C10368"/>
    <w:rsid w:val="00C104A3"/>
    <w:rsid w:val="00C104E6"/>
    <w:rsid w:val="00C115B1"/>
    <w:rsid w:val="00C118CE"/>
    <w:rsid w:val="00C11955"/>
    <w:rsid w:val="00C121E3"/>
    <w:rsid w:val="00C13070"/>
    <w:rsid w:val="00C14964"/>
    <w:rsid w:val="00C158C7"/>
    <w:rsid w:val="00C15EB6"/>
    <w:rsid w:val="00C17A8F"/>
    <w:rsid w:val="00C20B01"/>
    <w:rsid w:val="00C22AB2"/>
    <w:rsid w:val="00C22DDF"/>
    <w:rsid w:val="00C23902"/>
    <w:rsid w:val="00C23E1B"/>
    <w:rsid w:val="00C242A2"/>
    <w:rsid w:val="00C25F26"/>
    <w:rsid w:val="00C26ABE"/>
    <w:rsid w:val="00C2760F"/>
    <w:rsid w:val="00C27DEB"/>
    <w:rsid w:val="00C30DE7"/>
    <w:rsid w:val="00C31FBF"/>
    <w:rsid w:val="00C32039"/>
    <w:rsid w:val="00C32372"/>
    <w:rsid w:val="00C3346D"/>
    <w:rsid w:val="00C34B8A"/>
    <w:rsid w:val="00C36ACB"/>
    <w:rsid w:val="00C37895"/>
    <w:rsid w:val="00C37C77"/>
    <w:rsid w:val="00C40DF1"/>
    <w:rsid w:val="00C40E94"/>
    <w:rsid w:val="00C42C06"/>
    <w:rsid w:val="00C434A9"/>
    <w:rsid w:val="00C447E0"/>
    <w:rsid w:val="00C454C7"/>
    <w:rsid w:val="00C4583D"/>
    <w:rsid w:val="00C45BBB"/>
    <w:rsid w:val="00C46205"/>
    <w:rsid w:val="00C4694D"/>
    <w:rsid w:val="00C4734F"/>
    <w:rsid w:val="00C47F59"/>
    <w:rsid w:val="00C53601"/>
    <w:rsid w:val="00C540F4"/>
    <w:rsid w:val="00C548BB"/>
    <w:rsid w:val="00C54CC6"/>
    <w:rsid w:val="00C55116"/>
    <w:rsid w:val="00C56589"/>
    <w:rsid w:val="00C57955"/>
    <w:rsid w:val="00C600B8"/>
    <w:rsid w:val="00C60B38"/>
    <w:rsid w:val="00C63882"/>
    <w:rsid w:val="00C639DD"/>
    <w:rsid w:val="00C6501B"/>
    <w:rsid w:val="00C650AD"/>
    <w:rsid w:val="00C65107"/>
    <w:rsid w:val="00C671CA"/>
    <w:rsid w:val="00C673DA"/>
    <w:rsid w:val="00C67A7C"/>
    <w:rsid w:val="00C67F9E"/>
    <w:rsid w:val="00C70638"/>
    <w:rsid w:val="00C70811"/>
    <w:rsid w:val="00C724D2"/>
    <w:rsid w:val="00C724E9"/>
    <w:rsid w:val="00C734A6"/>
    <w:rsid w:val="00C73D78"/>
    <w:rsid w:val="00C749A7"/>
    <w:rsid w:val="00C74D75"/>
    <w:rsid w:val="00C75D64"/>
    <w:rsid w:val="00C75DA4"/>
    <w:rsid w:val="00C80899"/>
    <w:rsid w:val="00C80B2E"/>
    <w:rsid w:val="00C80FAE"/>
    <w:rsid w:val="00C82922"/>
    <w:rsid w:val="00C82EAD"/>
    <w:rsid w:val="00C830EA"/>
    <w:rsid w:val="00C83506"/>
    <w:rsid w:val="00C83C41"/>
    <w:rsid w:val="00C877BA"/>
    <w:rsid w:val="00C9044E"/>
    <w:rsid w:val="00C905C6"/>
    <w:rsid w:val="00C90908"/>
    <w:rsid w:val="00C911B4"/>
    <w:rsid w:val="00C911BA"/>
    <w:rsid w:val="00C92C23"/>
    <w:rsid w:val="00C92D5D"/>
    <w:rsid w:val="00C93008"/>
    <w:rsid w:val="00C937AE"/>
    <w:rsid w:val="00C93A5C"/>
    <w:rsid w:val="00C93EE7"/>
    <w:rsid w:val="00C9512F"/>
    <w:rsid w:val="00C956B4"/>
    <w:rsid w:val="00C95BD0"/>
    <w:rsid w:val="00C95C22"/>
    <w:rsid w:val="00C95DDF"/>
    <w:rsid w:val="00CA050B"/>
    <w:rsid w:val="00CA122A"/>
    <w:rsid w:val="00CA13C3"/>
    <w:rsid w:val="00CA1640"/>
    <w:rsid w:val="00CA18BD"/>
    <w:rsid w:val="00CA1962"/>
    <w:rsid w:val="00CA26A8"/>
    <w:rsid w:val="00CA2DD7"/>
    <w:rsid w:val="00CA44DA"/>
    <w:rsid w:val="00CA4AA6"/>
    <w:rsid w:val="00CA528B"/>
    <w:rsid w:val="00CA531B"/>
    <w:rsid w:val="00CA5517"/>
    <w:rsid w:val="00CA568E"/>
    <w:rsid w:val="00CA5E34"/>
    <w:rsid w:val="00CA6AA7"/>
    <w:rsid w:val="00CA7325"/>
    <w:rsid w:val="00CB0BD9"/>
    <w:rsid w:val="00CB1451"/>
    <w:rsid w:val="00CB1659"/>
    <w:rsid w:val="00CB1E4E"/>
    <w:rsid w:val="00CB26A3"/>
    <w:rsid w:val="00CB3217"/>
    <w:rsid w:val="00CB3325"/>
    <w:rsid w:val="00CB37C2"/>
    <w:rsid w:val="00CB4CB9"/>
    <w:rsid w:val="00CB7101"/>
    <w:rsid w:val="00CB73E2"/>
    <w:rsid w:val="00CB7B77"/>
    <w:rsid w:val="00CB7F0F"/>
    <w:rsid w:val="00CC04E7"/>
    <w:rsid w:val="00CC07C4"/>
    <w:rsid w:val="00CC09A8"/>
    <w:rsid w:val="00CC184A"/>
    <w:rsid w:val="00CC2087"/>
    <w:rsid w:val="00CC2A41"/>
    <w:rsid w:val="00CC2A71"/>
    <w:rsid w:val="00CC2BD6"/>
    <w:rsid w:val="00CC34D7"/>
    <w:rsid w:val="00CC4449"/>
    <w:rsid w:val="00CC552A"/>
    <w:rsid w:val="00CC6420"/>
    <w:rsid w:val="00CD0409"/>
    <w:rsid w:val="00CD0887"/>
    <w:rsid w:val="00CD1E2F"/>
    <w:rsid w:val="00CD1EE8"/>
    <w:rsid w:val="00CD1F0E"/>
    <w:rsid w:val="00CD3249"/>
    <w:rsid w:val="00CD39F6"/>
    <w:rsid w:val="00CD3C6D"/>
    <w:rsid w:val="00CD420E"/>
    <w:rsid w:val="00CD4640"/>
    <w:rsid w:val="00CD5550"/>
    <w:rsid w:val="00CD58D1"/>
    <w:rsid w:val="00CD740D"/>
    <w:rsid w:val="00CD74EF"/>
    <w:rsid w:val="00CD7C90"/>
    <w:rsid w:val="00CD7E1C"/>
    <w:rsid w:val="00CE01FA"/>
    <w:rsid w:val="00CE0625"/>
    <w:rsid w:val="00CE0DAB"/>
    <w:rsid w:val="00CE117D"/>
    <w:rsid w:val="00CE23C8"/>
    <w:rsid w:val="00CE3222"/>
    <w:rsid w:val="00CE4928"/>
    <w:rsid w:val="00CE4AE6"/>
    <w:rsid w:val="00CE5CB5"/>
    <w:rsid w:val="00CE5CDB"/>
    <w:rsid w:val="00CE6291"/>
    <w:rsid w:val="00CE64B5"/>
    <w:rsid w:val="00CE67DD"/>
    <w:rsid w:val="00CE7075"/>
    <w:rsid w:val="00CE7170"/>
    <w:rsid w:val="00CE7303"/>
    <w:rsid w:val="00CE76EF"/>
    <w:rsid w:val="00CE7A34"/>
    <w:rsid w:val="00CF0304"/>
    <w:rsid w:val="00CF0768"/>
    <w:rsid w:val="00CF0A89"/>
    <w:rsid w:val="00CF1239"/>
    <w:rsid w:val="00CF232B"/>
    <w:rsid w:val="00CF237A"/>
    <w:rsid w:val="00CF2A0E"/>
    <w:rsid w:val="00CF39E3"/>
    <w:rsid w:val="00CF3C4C"/>
    <w:rsid w:val="00CF4640"/>
    <w:rsid w:val="00CF51DC"/>
    <w:rsid w:val="00CF5390"/>
    <w:rsid w:val="00CF5516"/>
    <w:rsid w:val="00CF6B47"/>
    <w:rsid w:val="00CF7A08"/>
    <w:rsid w:val="00CF7FBF"/>
    <w:rsid w:val="00D016B8"/>
    <w:rsid w:val="00D019E1"/>
    <w:rsid w:val="00D01EAC"/>
    <w:rsid w:val="00D0265C"/>
    <w:rsid w:val="00D0315A"/>
    <w:rsid w:val="00D04878"/>
    <w:rsid w:val="00D05A6F"/>
    <w:rsid w:val="00D05BF8"/>
    <w:rsid w:val="00D05C2B"/>
    <w:rsid w:val="00D07311"/>
    <w:rsid w:val="00D077B3"/>
    <w:rsid w:val="00D103E2"/>
    <w:rsid w:val="00D10902"/>
    <w:rsid w:val="00D10B5E"/>
    <w:rsid w:val="00D1181C"/>
    <w:rsid w:val="00D11BEB"/>
    <w:rsid w:val="00D126AC"/>
    <w:rsid w:val="00D1473D"/>
    <w:rsid w:val="00D14A0A"/>
    <w:rsid w:val="00D14EED"/>
    <w:rsid w:val="00D1518D"/>
    <w:rsid w:val="00D158DF"/>
    <w:rsid w:val="00D15C39"/>
    <w:rsid w:val="00D16719"/>
    <w:rsid w:val="00D16F32"/>
    <w:rsid w:val="00D21C0D"/>
    <w:rsid w:val="00D229D2"/>
    <w:rsid w:val="00D23986"/>
    <w:rsid w:val="00D25C13"/>
    <w:rsid w:val="00D25CAC"/>
    <w:rsid w:val="00D25E58"/>
    <w:rsid w:val="00D25EEE"/>
    <w:rsid w:val="00D2635F"/>
    <w:rsid w:val="00D264D2"/>
    <w:rsid w:val="00D2690B"/>
    <w:rsid w:val="00D26D3C"/>
    <w:rsid w:val="00D26F9C"/>
    <w:rsid w:val="00D27FB2"/>
    <w:rsid w:val="00D3015B"/>
    <w:rsid w:val="00D30338"/>
    <w:rsid w:val="00D308A3"/>
    <w:rsid w:val="00D30E8A"/>
    <w:rsid w:val="00D31188"/>
    <w:rsid w:val="00D31CD1"/>
    <w:rsid w:val="00D3341A"/>
    <w:rsid w:val="00D33618"/>
    <w:rsid w:val="00D33D20"/>
    <w:rsid w:val="00D35BC6"/>
    <w:rsid w:val="00D36D2B"/>
    <w:rsid w:val="00D3739C"/>
    <w:rsid w:val="00D37DFE"/>
    <w:rsid w:val="00D37EBA"/>
    <w:rsid w:val="00D40CDB"/>
    <w:rsid w:val="00D40E62"/>
    <w:rsid w:val="00D414E6"/>
    <w:rsid w:val="00D4192F"/>
    <w:rsid w:val="00D42490"/>
    <w:rsid w:val="00D4249C"/>
    <w:rsid w:val="00D435FD"/>
    <w:rsid w:val="00D4362F"/>
    <w:rsid w:val="00D44E94"/>
    <w:rsid w:val="00D47019"/>
    <w:rsid w:val="00D477F2"/>
    <w:rsid w:val="00D47898"/>
    <w:rsid w:val="00D47CE9"/>
    <w:rsid w:val="00D503DB"/>
    <w:rsid w:val="00D50FBC"/>
    <w:rsid w:val="00D5142C"/>
    <w:rsid w:val="00D51B86"/>
    <w:rsid w:val="00D51E54"/>
    <w:rsid w:val="00D522B6"/>
    <w:rsid w:val="00D5328D"/>
    <w:rsid w:val="00D53793"/>
    <w:rsid w:val="00D543C2"/>
    <w:rsid w:val="00D54492"/>
    <w:rsid w:val="00D54985"/>
    <w:rsid w:val="00D54D0E"/>
    <w:rsid w:val="00D54DD5"/>
    <w:rsid w:val="00D55169"/>
    <w:rsid w:val="00D555D0"/>
    <w:rsid w:val="00D557AD"/>
    <w:rsid w:val="00D55851"/>
    <w:rsid w:val="00D55C89"/>
    <w:rsid w:val="00D560EE"/>
    <w:rsid w:val="00D57274"/>
    <w:rsid w:val="00D5742D"/>
    <w:rsid w:val="00D57533"/>
    <w:rsid w:val="00D57B13"/>
    <w:rsid w:val="00D60876"/>
    <w:rsid w:val="00D60DFA"/>
    <w:rsid w:val="00D61019"/>
    <w:rsid w:val="00D61131"/>
    <w:rsid w:val="00D61D19"/>
    <w:rsid w:val="00D6210F"/>
    <w:rsid w:val="00D634CD"/>
    <w:rsid w:val="00D64F3B"/>
    <w:rsid w:val="00D64F77"/>
    <w:rsid w:val="00D65524"/>
    <w:rsid w:val="00D66CC0"/>
    <w:rsid w:val="00D70CAA"/>
    <w:rsid w:val="00D71B46"/>
    <w:rsid w:val="00D74096"/>
    <w:rsid w:val="00D74141"/>
    <w:rsid w:val="00D746CB"/>
    <w:rsid w:val="00D74A1D"/>
    <w:rsid w:val="00D750A0"/>
    <w:rsid w:val="00D75718"/>
    <w:rsid w:val="00D802F7"/>
    <w:rsid w:val="00D816F2"/>
    <w:rsid w:val="00D8337D"/>
    <w:rsid w:val="00D83755"/>
    <w:rsid w:val="00D84212"/>
    <w:rsid w:val="00D84B04"/>
    <w:rsid w:val="00D84D8C"/>
    <w:rsid w:val="00D85BDB"/>
    <w:rsid w:val="00D85CDF"/>
    <w:rsid w:val="00D86086"/>
    <w:rsid w:val="00D873C5"/>
    <w:rsid w:val="00D87C31"/>
    <w:rsid w:val="00D90BA5"/>
    <w:rsid w:val="00D90D33"/>
    <w:rsid w:val="00D90E41"/>
    <w:rsid w:val="00D92A02"/>
    <w:rsid w:val="00D931C5"/>
    <w:rsid w:val="00D945D4"/>
    <w:rsid w:val="00D94973"/>
    <w:rsid w:val="00D94CB5"/>
    <w:rsid w:val="00D94F53"/>
    <w:rsid w:val="00D95182"/>
    <w:rsid w:val="00D9554C"/>
    <w:rsid w:val="00D95FE1"/>
    <w:rsid w:val="00D96515"/>
    <w:rsid w:val="00D967EE"/>
    <w:rsid w:val="00D96D70"/>
    <w:rsid w:val="00D9704F"/>
    <w:rsid w:val="00D97AC1"/>
    <w:rsid w:val="00D97FB9"/>
    <w:rsid w:val="00DA0151"/>
    <w:rsid w:val="00DA024A"/>
    <w:rsid w:val="00DA1F48"/>
    <w:rsid w:val="00DA292D"/>
    <w:rsid w:val="00DA4AC1"/>
    <w:rsid w:val="00DA6B53"/>
    <w:rsid w:val="00DA7D9A"/>
    <w:rsid w:val="00DB01A9"/>
    <w:rsid w:val="00DB07BA"/>
    <w:rsid w:val="00DB0947"/>
    <w:rsid w:val="00DB0A22"/>
    <w:rsid w:val="00DB0CC2"/>
    <w:rsid w:val="00DB11FB"/>
    <w:rsid w:val="00DB1646"/>
    <w:rsid w:val="00DB19B7"/>
    <w:rsid w:val="00DB30AD"/>
    <w:rsid w:val="00DB36C3"/>
    <w:rsid w:val="00DB390A"/>
    <w:rsid w:val="00DB4581"/>
    <w:rsid w:val="00DB4A8E"/>
    <w:rsid w:val="00DB4CD3"/>
    <w:rsid w:val="00DB5901"/>
    <w:rsid w:val="00DB5F66"/>
    <w:rsid w:val="00DB6C6F"/>
    <w:rsid w:val="00DB7478"/>
    <w:rsid w:val="00DC0364"/>
    <w:rsid w:val="00DC0D52"/>
    <w:rsid w:val="00DC148A"/>
    <w:rsid w:val="00DC1AF4"/>
    <w:rsid w:val="00DC31AD"/>
    <w:rsid w:val="00DC4518"/>
    <w:rsid w:val="00DC4FD9"/>
    <w:rsid w:val="00DC5DCB"/>
    <w:rsid w:val="00DC6729"/>
    <w:rsid w:val="00DC6FC9"/>
    <w:rsid w:val="00DC72B8"/>
    <w:rsid w:val="00DD044B"/>
    <w:rsid w:val="00DD060F"/>
    <w:rsid w:val="00DD121E"/>
    <w:rsid w:val="00DD17A9"/>
    <w:rsid w:val="00DD1D24"/>
    <w:rsid w:val="00DD2794"/>
    <w:rsid w:val="00DD2FDB"/>
    <w:rsid w:val="00DD32E5"/>
    <w:rsid w:val="00DD5526"/>
    <w:rsid w:val="00DD566E"/>
    <w:rsid w:val="00DD59D2"/>
    <w:rsid w:val="00DD658B"/>
    <w:rsid w:val="00DD7607"/>
    <w:rsid w:val="00DE1323"/>
    <w:rsid w:val="00DE25E5"/>
    <w:rsid w:val="00DE3125"/>
    <w:rsid w:val="00DE33F3"/>
    <w:rsid w:val="00DE4243"/>
    <w:rsid w:val="00DE4917"/>
    <w:rsid w:val="00DE51C9"/>
    <w:rsid w:val="00DE5C41"/>
    <w:rsid w:val="00DE6106"/>
    <w:rsid w:val="00DE6725"/>
    <w:rsid w:val="00DE724D"/>
    <w:rsid w:val="00DF012D"/>
    <w:rsid w:val="00DF1676"/>
    <w:rsid w:val="00DF3133"/>
    <w:rsid w:val="00DF4B39"/>
    <w:rsid w:val="00DF4F68"/>
    <w:rsid w:val="00DF5682"/>
    <w:rsid w:val="00DF66B0"/>
    <w:rsid w:val="00DF6797"/>
    <w:rsid w:val="00DF71B2"/>
    <w:rsid w:val="00DF75E2"/>
    <w:rsid w:val="00DF7A04"/>
    <w:rsid w:val="00E0009E"/>
    <w:rsid w:val="00E00F66"/>
    <w:rsid w:val="00E03836"/>
    <w:rsid w:val="00E03CAE"/>
    <w:rsid w:val="00E04779"/>
    <w:rsid w:val="00E055BE"/>
    <w:rsid w:val="00E056F4"/>
    <w:rsid w:val="00E05DFB"/>
    <w:rsid w:val="00E060BB"/>
    <w:rsid w:val="00E062B0"/>
    <w:rsid w:val="00E074B8"/>
    <w:rsid w:val="00E10AD2"/>
    <w:rsid w:val="00E12505"/>
    <w:rsid w:val="00E1263F"/>
    <w:rsid w:val="00E12DF3"/>
    <w:rsid w:val="00E12FB7"/>
    <w:rsid w:val="00E13F55"/>
    <w:rsid w:val="00E1419B"/>
    <w:rsid w:val="00E15C9C"/>
    <w:rsid w:val="00E16269"/>
    <w:rsid w:val="00E17455"/>
    <w:rsid w:val="00E1747F"/>
    <w:rsid w:val="00E1793F"/>
    <w:rsid w:val="00E17A9E"/>
    <w:rsid w:val="00E17DC8"/>
    <w:rsid w:val="00E22B77"/>
    <w:rsid w:val="00E22F8C"/>
    <w:rsid w:val="00E235C4"/>
    <w:rsid w:val="00E237ED"/>
    <w:rsid w:val="00E25601"/>
    <w:rsid w:val="00E25EED"/>
    <w:rsid w:val="00E267E2"/>
    <w:rsid w:val="00E26FF4"/>
    <w:rsid w:val="00E271D0"/>
    <w:rsid w:val="00E27903"/>
    <w:rsid w:val="00E31906"/>
    <w:rsid w:val="00E32214"/>
    <w:rsid w:val="00E323A0"/>
    <w:rsid w:val="00E32621"/>
    <w:rsid w:val="00E3272E"/>
    <w:rsid w:val="00E329D6"/>
    <w:rsid w:val="00E32EBD"/>
    <w:rsid w:val="00E34290"/>
    <w:rsid w:val="00E35D26"/>
    <w:rsid w:val="00E35FBE"/>
    <w:rsid w:val="00E36448"/>
    <w:rsid w:val="00E36AB3"/>
    <w:rsid w:val="00E37070"/>
    <w:rsid w:val="00E40D89"/>
    <w:rsid w:val="00E4115E"/>
    <w:rsid w:val="00E412DB"/>
    <w:rsid w:val="00E41AFF"/>
    <w:rsid w:val="00E42EBA"/>
    <w:rsid w:val="00E43A69"/>
    <w:rsid w:val="00E44957"/>
    <w:rsid w:val="00E44A81"/>
    <w:rsid w:val="00E4503A"/>
    <w:rsid w:val="00E45A49"/>
    <w:rsid w:val="00E45BC6"/>
    <w:rsid w:val="00E46213"/>
    <w:rsid w:val="00E463F9"/>
    <w:rsid w:val="00E47D80"/>
    <w:rsid w:val="00E505CC"/>
    <w:rsid w:val="00E508BE"/>
    <w:rsid w:val="00E509CC"/>
    <w:rsid w:val="00E50AF6"/>
    <w:rsid w:val="00E5107B"/>
    <w:rsid w:val="00E51844"/>
    <w:rsid w:val="00E52E21"/>
    <w:rsid w:val="00E53530"/>
    <w:rsid w:val="00E53A48"/>
    <w:rsid w:val="00E549AB"/>
    <w:rsid w:val="00E550EE"/>
    <w:rsid w:val="00E5547C"/>
    <w:rsid w:val="00E558AD"/>
    <w:rsid w:val="00E5634F"/>
    <w:rsid w:val="00E60423"/>
    <w:rsid w:val="00E61019"/>
    <w:rsid w:val="00E619F3"/>
    <w:rsid w:val="00E61B61"/>
    <w:rsid w:val="00E62005"/>
    <w:rsid w:val="00E629B7"/>
    <w:rsid w:val="00E62C3F"/>
    <w:rsid w:val="00E63A2A"/>
    <w:rsid w:val="00E6464F"/>
    <w:rsid w:val="00E651CE"/>
    <w:rsid w:val="00E671C9"/>
    <w:rsid w:val="00E71E75"/>
    <w:rsid w:val="00E7212E"/>
    <w:rsid w:val="00E7240F"/>
    <w:rsid w:val="00E72BE9"/>
    <w:rsid w:val="00E732C8"/>
    <w:rsid w:val="00E748A9"/>
    <w:rsid w:val="00E7585C"/>
    <w:rsid w:val="00E75F07"/>
    <w:rsid w:val="00E76150"/>
    <w:rsid w:val="00E7734B"/>
    <w:rsid w:val="00E778B3"/>
    <w:rsid w:val="00E8050C"/>
    <w:rsid w:val="00E80679"/>
    <w:rsid w:val="00E8198C"/>
    <w:rsid w:val="00E831BA"/>
    <w:rsid w:val="00E832D9"/>
    <w:rsid w:val="00E836DC"/>
    <w:rsid w:val="00E84208"/>
    <w:rsid w:val="00E84255"/>
    <w:rsid w:val="00E84C44"/>
    <w:rsid w:val="00E85DBB"/>
    <w:rsid w:val="00E86029"/>
    <w:rsid w:val="00E86F09"/>
    <w:rsid w:val="00E900B1"/>
    <w:rsid w:val="00E90764"/>
    <w:rsid w:val="00E917A4"/>
    <w:rsid w:val="00E91BD0"/>
    <w:rsid w:val="00E9469F"/>
    <w:rsid w:val="00E94D27"/>
    <w:rsid w:val="00E95CEC"/>
    <w:rsid w:val="00E97044"/>
    <w:rsid w:val="00E97082"/>
    <w:rsid w:val="00E970D1"/>
    <w:rsid w:val="00E97445"/>
    <w:rsid w:val="00E97615"/>
    <w:rsid w:val="00EA1020"/>
    <w:rsid w:val="00EA1B0E"/>
    <w:rsid w:val="00EA25D5"/>
    <w:rsid w:val="00EA2A83"/>
    <w:rsid w:val="00EA3CC1"/>
    <w:rsid w:val="00EA505E"/>
    <w:rsid w:val="00EA5583"/>
    <w:rsid w:val="00EA65C2"/>
    <w:rsid w:val="00EA6FDC"/>
    <w:rsid w:val="00EA793A"/>
    <w:rsid w:val="00EB0144"/>
    <w:rsid w:val="00EB0693"/>
    <w:rsid w:val="00EB094E"/>
    <w:rsid w:val="00EB0D0F"/>
    <w:rsid w:val="00EB128A"/>
    <w:rsid w:val="00EB1F4E"/>
    <w:rsid w:val="00EB2540"/>
    <w:rsid w:val="00EB2A66"/>
    <w:rsid w:val="00EB344D"/>
    <w:rsid w:val="00EB3D4E"/>
    <w:rsid w:val="00EB445B"/>
    <w:rsid w:val="00EB5500"/>
    <w:rsid w:val="00EB5849"/>
    <w:rsid w:val="00EB5C93"/>
    <w:rsid w:val="00EB5F2A"/>
    <w:rsid w:val="00EB6366"/>
    <w:rsid w:val="00EB64EF"/>
    <w:rsid w:val="00EB7143"/>
    <w:rsid w:val="00EC0019"/>
    <w:rsid w:val="00EC05D9"/>
    <w:rsid w:val="00EC34C2"/>
    <w:rsid w:val="00EC3AFD"/>
    <w:rsid w:val="00EC4F94"/>
    <w:rsid w:val="00EC57E7"/>
    <w:rsid w:val="00EC62D1"/>
    <w:rsid w:val="00EC6800"/>
    <w:rsid w:val="00EC749B"/>
    <w:rsid w:val="00EC76EC"/>
    <w:rsid w:val="00ED0CCB"/>
    <w:rsid w:val="00ED1572"/>
    <w:rsid w:val="00ED1C18"/>
    <w:rsid w:val="00ED1D4C"/>
    <w:rsid w:val="00ED1E2A"/>
    <w:rsid w:val="00ED2622"/>
    <w:rsid w:val="00ED3A67"/>
    <w:rsid w:val="00ED3AA4"/>
    <w:rsid w:val="00ED426D"/>
    <w:rsid w:val="00ED4C87"/>
    <w:rsid w:val="00ED4D70"/>
    <w:rsid w:val="00ED61DB"/>
    <w:rsid w:val="00ED654B"/>
    <w:rsid w:val="00ED6F5B"/>
    <w:rsid w:val="00ED7957"/>
    <w:rsid w:val="00EE070E"/>
    <w:rsid w:val="00EE1125"/>
    <w:rsid w:val="00EE15B7"/>
    <w:rsid w:val="00EE1907"/>
    <w:rsid w:val="00EE20B3"/>
    <w:rsid w:val="00EE2246"/>
    <w:rsid w:val="00EE2607"/>
    <w:rsid w:val="00EE2D27"/>
    <w:rsid w:val="00EE3289"/>
    <w:rsid w:val="00EE422B"/>
    <w:rsid w:val="00EE4905"/>
    <w:rsid w:val="00EE590F"/>
    <w:rsid w:val="00EE72D5"/>
    <w:rsid w:val="00EE7F7E"/>
    <w:rsid w:val="00EF0A5B"/>
    <w:rsid w:val="00EF0F0A"/>
    <w:rsid w:val="00EF1100"/>
    <w:rsid w:val="00EF23A5"/>
    <w:rsid w:val="00EF265D"/>
    <w:rsid w:val="00EF3790"/>
    <w:rsid w:val="00EF3B92"/>
    <w:rsid w:val="00EF3E52"/>
    <w:rsid w:val="00EF497E"/>
    <w:rsid w:val="00EF596A"/>
    <w:rsid w:val="00EF68FB"/>
    <w:rsid w:val="00EF6B3E"/>
    <w:rsid w:val="00EF7E9C"/>
    <w:rsid w:val="00F007E6"/>
    <w:rsid w:val="00F01579"/>
    <w:rsid w:val="00F0187F"/>
    <w:rsid w:val="00F01E3D"/>
    <w:rsid w:val="00F02C01"/>
    <w:rsid w:val="00F02F65"/>
    <w:rsid w:val="00F034A9"/>
    <w:rsid w:val="00F03B14"/>
    <w:rsid w:val="00F0417C"/>
    <w:rsid w:val="00F04DE9"/>
    <w:rsid w:val="00F0524F"/>
    <w:rsid w:val="00F066C8"/>
    <w:rsid w:val="00F06E25"/>
    <w:rsid w:val="00F072B5"/>
    <w:rsid w:val="00F109AD"/>
    <w:rsid w:val="00F1120C"/>
    <w:rsid w:val="00F123AA"/>
    <w:rsid w:val="00F12AAA"/>
    <w:rsid w:val="00F133E8"/>
    <w:rsid w:val="00F13995"/>
    <w:rsid w:val="00F13E2D"/>
    <w:rsid w:val="00F13E56"/>
    <w:rsid w:val="00F14257"/>
    <w:rsid w:val="00F1442E"/>
    <w:rsid w:val="00F15B41"/>
    <w:rsid w:val="00F1617C"/>
    <w:rsid w:val="00F16AFD"/>
    <w:rsid w:val="00F20920"/>
    <w:rsid w:val="00F20A51"/>
    <w:rsid w:val="00F20BF9"/>
    <w:rsid w:val="00F20DC2"/>
    <w:rsid w:val="00F215BC"/>
    <w:rsid w:val="00F22BEA"/>
    <w:rsid w:val="00F23396"/>
    <w:rsid w:val="00F27170"/>
    <w:rsid w:val="00F27611"/>
    <w:rsid w:val="00F27C16"/>
    <w:rsid w:val="00F30005"/>
    <w:rsid w:val="00F301EA"/>
    <w:rsid w:val="00F30C62"/>
    <w:rsid w:val="00F310FA"/>
    <w:rsid w:val="00F31F34"/>
    <w:rsid w:val="00F32076"/>
    <w:rsid w:val="00F33852"/>
    <w:rsid w:val="00F34089"/>
    <w:rsid w:val="00F3514B"/>
    <w:rsid w:val="00F354A2"/>
    <w:rsid w:val="00F35C41"/>
    <w:rsid w:val="00F370D4"/>
    <w:rsid w:val="00F377EB"/>
    <w:rsid w:val="00F4062A"/>
    <w:rsid w:val="00F40646"/>
    <w:rsid w:val="00F4075D"/>
    <w:rsid w:val="00F410E9"/>
    <w:rsid w:val="00F415DA"/>
    <w:rsid w:val="00F41E77"/>
    <w:rsid w:val="00F42A10"/>
    <w:rsid w:val="00F43812"/>
    <w:rsid w:val="00F43B98"/>
    <w:rsid w:val="00F43EA7"/>
    <w:rsid w:val="00F44530"/>
    <w:rsid w:val="00F4454B"/>
    <w:rsid w:val="00F4454C"/>
    <w:rsid w:val="00F45389"/>
    <w:rsid w:val="00F4637B"/>
    <w:rsid w:val="00F47266"/>
    <w:rsid w:val="00F5014A"/>
    <w:rsid w:val="00F50C26"/>
    <w:rsid w:val="00F5169F"/>
    <w:rsid w:val="00F5217B"/>
    <w:rsid w:val="00F5248F"/>
    <w:rsid w:val="00F52FAE"/>
    <w:rsid w:val="00F5364A"/>
    <w:rsid w:val="00F54F67"/>
    <w:rsid w:val="00F55753"/>
    <w:rsid w:val="00F55E68"/>
    <w:rsid w:val="00F5621C"/>
    <w:rsid w:val="00F5696B"/>
    <w:rsid w:val="00F56B47"/>
    <w:rsid w:val="00F6020E"/>
    <w:rsid w:val="00F6039C"/>
    <w:rsid w:val="00F609B0"/>
    <w:rsid w:val="00F60B31"/>
    <w:rsid w:val="00F61025"/>
    <w:rsid w:val="00F61115"/>
    <w:rsid w:val="00F6160F"/>
    <w:rsid w:val="00F621CE"/>
    <w:rsid w:val="00F63340"/>
    <w:rsid w:val="00F63A3E"/>
    <w:rsid w:val="00F64A31"/>
    <w:rsid w:val="00F6578F"/>
    <w:rsid w:val="00F66FB1"/>
    <w:rsid w:val="00F67C19"/>
    <w:rsid w:val="00F7123E"/>
    <w:rsid w:val="00F71407"/>
    <w:rsid w:val="00F718F6"/>
    <w:rsid w:val="00F71919"/>
    <w:rsid w:val="00F72C12"/>
    <w:rsid w:val="00F74A0D"/>
    <w:rsid w:val="00F7569E"/>
    <w:rsid w:val="00F76491"/>
    <w:rsid w:val="00F77055"/>
    <w:rsid w:val="00F80331"/>
    <w:rsid w:val="00F803C4"/>
    <w:rsid w:val="00F80AFD"/>
    <w:rsid w:val="00F8173E"/>
    <w:rsid w:val="00F82D54"/>
    <w:rsid w:val="00F82D69"/>
    <w:rsid w:val="00F831B4"/>
    <w:rsid w:val="00F83487"/>
    <w:rsid w:val="00F83B00"/>
    <w:rsid w:val="00F84184"/>
    <w:rsid w:val="00F84528"/>
    <w:rsid w:val="00F84DA4"/>
    <w:rsid w:val="00F859EA"/>
    <w:rsid w:val="00F86434"/>
    <w:rsid w:val="00F867C9"/>
    <w:rsid w:val="00F870E8"/>
    <w:rsid w:val="00F87512"/>
    <w:rsid w:val="00F9068D"/>
    <w:rsid w:val="00F90B99"/>
    <w:rsid w:val="00F9126E"/>
    <w:rsid w:val="00F91C3F"/>
    <w:rsid w:val="00F92879"/>
    <w:rsid w:val="00F92B33"/>
    <w:rsid w:val="00F93349"/>
    <w:rsid w:val="00F93577"/>
    <w:rsid w:val="00F95C4D"/>
    <w:rsid w:val="00F9600B"/>
    <w:rsid w:val="00F96665"/>
    <w:rsid w:val="00F96877"/>
    <w:rsid w:val="00F96A63"/>
    <w:rsid w:val="00F96AD9"/>
    <w:rsid w:val="00F971EA"/>
    <w:rsid w:val="00F97413"/>
    <w:rsid w:val="00F97887"/>
    <w:rsid w:val="00FA064C"/>
    <w:rsid w:val="00FA0CCB"/>
    <w:rsid w:val="00FA220C"/>
    <w:rsid w:val="00FA4497"/>
    <w:rsid w:val="00FA4538"/>
    <w:rsid w:val="00FA47F6"/>
    <w:rsid w:val="00FA4919"/>
    <w:rsid w:val="00FA593D"/>
    <w:rsid w:val="00FA6AB8"/>
    <w:rsid w:val="00FA79F9"/>
    <w:rsid w:val="00FA7FAD"/>
    <w:rsid w:val="00FB0DF2"/>
    <w:rsid w:val="00FB18DA"/>
    <w:rsid w:val="00FB3BD2"/>
    <w:rsid w:val="00FB4140"/>
    <w:rsid w:val="00FB415D"/>
    <w:rsid w:val="00FB4DA2"/>
    <w:rsid w:val="00FB65FC"/>
    <w:rsid w:val="00FB6B08"/>
    <w:rsid w:val="00FB75C2"/>
    <w:rsid w:val="00FB7922"/>
    <w:rsid w:val="00FB796B"/>
    <w:rsid w:val="00FC0953"/>
    <w:rsid w:val="00FC15D4"/>
    <w:rsid w:val="00FC1A67"/>
    <w:rsid w:val="00FC21C2"/>
    <w:rsid w:val="00FC23E0"/>
    <w:rsid w:val="00FC2AEE"/>
    <w:rsid w:val="00FC35B9"/>
    <w:rsid w:val="00FC3928"/>
    <w:rsid w:val="00FC406B"/>
    <w:rsid w:val="00FC488C"/>
    <w:rsid w:val="00FC5809"/>
    <w:rsid w:val="00FC68F5"/>
    <w:rsid w:val="00FC6B46"/>
    <w:rsid w:val="00FC715D"/>
    <w:rsid w:val="00FC7AED"/>
    <w:rsid w:val="00FD018C"/>
    <w:rsid w:val="00FD04F2"/>
    <w:rsid w:val="00FD0C5E"/>
    <w:rsid w:val="00FD0E8C"/>
    <w:rsid w:val="00FD1923"/>
    <w:rsid w:val="00FD1A06"/>
    <w:rsid w:val="00FD1A8F"/>
    <w:rsid w:val="00FD1E63"/>
    <w:rsid w:val="00FD2929"/>
    <w:rsid w:val="00FD2D08"/>
    <w:rsid w:val="00FD37D9"/>
    <w:rsid w:val="00FD3F89"/>
    <w:rsid w:val="00FD405A"/>
    <w:rsid w:val="00FD475E"/>
    <w:rsid w:val="00FD4D44"/>
    <w:rsid w:val="00FD5726"/>
    <w:rsid w:val="00FD58A3"/>
    <w:rsid w:val="00FD58EE"/>
    <w:rsid w:val="00FE01C4"/>
    <w:rsid w:val="00FE2E24"/>
    <w:rsid w:val="00FE3BAB"/>
    <w:rsid w:val="00FE49F5"/>
    <w:rsid w:val="00FE4ECB"/>
    <w:rsid w:val="00FE50F8"/>
    <w:rsid w:val="00FE5ADF"/>
    <w:rsid w:val="00FE630E"/>
    <w:rsid w:val="00FE6A6C"/>
    <w:rsid w:val="00FE7D2E"/>
    <w:rsid w:val="00FF0108"/>
    <w:rsid w:val="00FF0E69"/>
    <w:rsid w:val="00FF2826"/>
    <w:rsid w:val="00FF29F8"/>
    <w:rsid w:val="00FF2A53"/>
    <w:rsid w:val="00FF2A65"/>
    <w:rsid w:val="00FF31E3"/>
    <w:rsid w:val="00FF3621"/>
    <w:rsid w:val="00FF37A1"/>
    <w:rsid w:val="00FF5205"/>
    <w:rsid w:val="00FF7BEC"/>
    <w:rsid w:val="4028036C"/>
    <w:rsid w:val="53FD6888"/>
    <w:rsid w:val="7FFB6F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E2E44"/>
  <w15:chartTrackingRefBased/>
  <w15:docId w15:val="{9B1FCB74-0666-467F-B189-FADF45AED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58EE"/>
    <w:pPr>
      <w:keepNext/>
      <w:keepLines/>
      <w:spacing w:before="240" w:after="0"/>
      <w:outlineLvl w:val="0"/>
    </w:pPr>
    <w:rPr>
      <w:rFonts w:ascii="Verdana" w:eastAsiaTheme="majorEastAsia" w:hAnsi="Verdana" w:cstheme="majorBidi"/>
      <w:b/>
      <w:bCs/>
      <w:color w:val="2F5496" w:themeColor="accent1" w:themeShade="BF"/>
      <w:sz w:val="40"/>
      <w:szCs w:val="40"/>
    </w:rPr>
  </w:style>
  <w:style w:type="paragraph" w:styleId="Heading2">
    <w:name w:val="heading 2"/>
    <w:basedOn w:val="Normal"/>
    <w:next w:val="Normal"/>
    <w:link w:val="Heading2Char"/>
    <w:uiPriority w:val="9"/>
    <w:unhideWhenUsed/>
    <w:qFormat/>
    <w:rsid w:val="00F569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D414E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6BB3"/>
    <w:pPr>
      <w:ind w:left="720"/>
      <w:contextualSpacing/>
    </w:pPr>
  </w:style>
  <w:style w:type="character" w:customStyle="1" w:styleId="ListParagraphChar">
    <w:name w:val="List Paragraph Char"/>
    <w:basedOn w:val="DefaultParagraphFont"/>
    <w:link w:val="ListParagraph"/>
    <w:uiPriority w:val="34"/>
    <w:rsid w:val="008A6A78"/>
  </w:style>
  <w:style w:type="paragraph" w:styleId="FootnoteText">
    <w:name w:val="footnote text"/>
    <w:aliases w:val="Footnote Text Char2 Char1,Footnote Text Char Char1 Char1,Footnote Text Char1 Char Char Char,Footnote Text Char Char Char Char Char,Footnote Text Char1 Char1 Char,Footnote Text Char Char Char1 Char,Char,Char Char Char,F1,Footnotes,FA Fu,o,f"/>
    <w:basedOn w:val="Normal"/>
    <w:link w:val="FootnoteTextChar"/>
    <w:uiPriority w:val="99"/>
    <w:unhideWhenUsed/>
    <w:qFormat/>
    <w:rsid w:val="00DB4CD3"/>
    <w:pPr>
      <w:spacing w:after="0" w:line="240" w:lineRule="auto"/>
    </w:pPr>
    <w:rPr>
      <w:sz w:val="20"/>
      <w:szCs w:val="20"/>
    </w:rPr>
  </w:style>
  <w:style w:type="character" w:customStyle="1" w:styleId="FootnoteTextChar">
    <w:name w:val="Footnote Text Char"/>
    <w:aliases w:val="Footnote Text Char2 Char1 Char,Footnote Text Char Char1 Char1 Char,Footnote Text Char1 Char Char Char Char,Footnote Text Char Char Char Char Char Char,Footnote Text Char1 Char1 Char Char,Footnote Text Char Char Char1 Char Char,F1 Char"/>
    <w:basedOn w:val="DefaultParagraphFont"/>
    <w:link w:val="FootnoteText"/>
    <w:uiPriority w:val="99"/>
    <w:qFormat/>
    <w:rsid w:val="00DB4CD3"/>
    <w:rPr>
      <w:sz w:val="20"/>
      <w:szCs w:val="20"/>
    </w:rPr>
  </w:style>
  <w:style w:type="character" w:styleId="FootnoteReference">
    <w:name w:val="footnote reference"/>
    <w:aliases w:val="4_G,Footnote Reference Number,ftref,Footnote symbol,Footnote Refernece,4_G Char Char Char Char Char Char Char,Footnotes refss Char Char Char Char Char Char Char,ftref Char Char Char Char Char Char Char,Fußnotenzeichen_Raxen,Ref,4_G Ch"/>
    <w:basedOn w:val="DefaultParagraphFont"/>
    <w:link w:val="4GCharCharCharCharCharChar"/>
    <w:uiPriority w:val="99"/>
    <w:unhideWhenUsed/>
    <w:qFormat/>
    <w:rsid w:val="00DB4CD3"/>
    <w:rPr>
      <w:vertAlign w:val="superscript"/>
    </w:rPr>
  </w:style>
  <w:style w:type="character" w:styleId="Hyperlink">
    <w:name w:val="Hyperlink"/>
    <w:basedOn w:val="DefaultParagraphFont"/>
    <w:uiPriority w:val="99"/>
    <w:unhideWhenUsed/>
    <w:rsid w:val="006340FD"/>
    <w:rPr>
      <w:color w:val="0563C1" w:themeColor="hyperlink"/>
      <w:u w:val="single"/>
    </w:rPr>
  </w:style>
  <w:style w:type="character" w:styleId="UnresolvedMention">
    <w:name w:val="Unresolved Mention"/>
    <w:basedOn w:val="DefaultParagraphFont"/>
    <w:uiPriority w:val="99"/>
    <w:semiHidden/>
    <w:unhideWhenUsed/>
    <w:rsid w:val="006340FD"/>
    <w:rPr>
      <w:color w:val="605E5C"/>
      <w:shd w:val="clear" w:color="auto" w:fill="E1DFDD"/>
    </w:rPr>
  </w:style>
  <w:style w:type="paragraph" w:customStyle="1" w:styleId="paragraph">
    <w:name w:val="paragraph"/>
    <w:basedOn w:val="Normal"/>
    <w:rsid w:val="00152C07"/>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eop">
    <w:name w:val="eop"/>
    <w:basedOn w:val="DefaultParagraphFont"/>
    <w:rsid w:val="00152C07"/>
  </w:style>
  <w:style w:type="paragraph" w:styleId="NormalWeb">
    <w:name w:val="Normal (Web)"/>
    <w:basedOn w:val="Normal"/>
    <w:uiPriority w:val="99"/>
    <w:unhideWhenUsed/>
    <w:rsid w:val="00152C07"/>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p2">
    <w:name w:val="p2"/>
    <w:basedOn w:val="Normal"/>
    <w:rsid w:val="001B3C47"/>
    <w:pPr>
      <w:spacing w:after="0" w:line="240" w:lineRule="auto"/>
    </w:pPr>
    <w:rPr>
      <w:rFonts w:ascii=".SF UI Text" w:hAnsi=".SF UI Text" w:cs="Times New Roman"/>
      <w:color w:val="454545"/>
      <w:sz w:val="26"/>
      <w:szCs w:val="26"/>
      <w:lang w:eastAsia="en-IE"/>
    </w:rPr>
  </w:style>
  <w:style w:type="paragraph" w:customStyle="1" w:styleId="p3">
    <w:name w:val="p3"/>
    <w:basedOn w:val="Normal"/>
    <w:rsid w:val="001B3C47"/>
    <w:pPr>
      <w:spacing w:after="60" w:line="240" w:lineRule="auto"/>
    </w:pPr>
    <w:rPr>
      <w:rFonts w:ascii=".SF UI Text" w:hAnsi=".SF UI Text" w:cs="Times New Roman"/>
      <w:color w:val="454545"/>
      <w:sz w:val="29"/>
      <w:szCs w:val="29"/>
      <w:lang w:eastAsia="en-IE"/>
    </w:rPr>
  </w:style>
  <w:style w:type="character" w:customStyle="1" w:styleId="s1">
    <w:name w:val="s1"/>
    <w:basedOn w:val="DefaultParagraphFont"/>
    <w:rsid w:val="001B3C47"/>
    <w:rPr>
      <w:rFonts w:ascii=".SFUIText" w:hAnsi=".SFUIText" w:hint="default"/>
      <w:b w:val="0"/>
      <w:bCs w:val="0"/>
      <w:i w:val="0"/>
      <w:iCs w:val="0"/>
    </w:rPr>
  </w:style>
  <w:style w:type="character" w:customStyle="1" w:styleId="s2">
    <w:name w:val="s2"/>
    <w:basedOn w:val="DefaultParagraphFont"/>
    <w:rsid w:val="001B3C47"/>
    <w:rPr>
      <w:rFonts w:ascii=".SFUIText-Semibold" w:hAnsi=".SFUIText-Semibold" w:hint="default"/>
      <w:b/>
      <w:bCs/>
      <w:i w:val="0"/>
      <w:iCs w:val="0"/>
    </w:rPr>
  </w:style>
  <w:style w:type="character" w:customStyle="1" w:styleId="s3">
    <w:name w:val="s3"/>
    <w:basedOn w:val="DefaultParagraphFont"/>
    <w:rsid w:val="001B3C47"/>
    <w:rPr>
      <w:rFonts w:ascii=".SFUIText" w:hAnsi=".SFUIText" w:hint="default"/>
      <w:b w:val="0"/>
      <w:bCs w:val="0"/>
      <w:i w:val="0"/>
      <w:iCs w:val="0"/>
      <w:color w:val="E4AF0A"/>
      <w:u w:val="single"/>
    </w:rPr>
  </w:style>
  <w:style w:type="character" w:customStyle="1" w:styleId="s4">
    <w:name w:val="s4"/>
    <w:basedOn w:val="DefaultParagraphFont"/>
    <w:rsid w:val="001B3C47"/>
    <w:rPr>
      <w:rFonts w:ascii=".SFUIText" w:hAnsi=".SFUIText" w:hint="default"/>
      <w:b w:val="0"/>
      <w:bCs w:val="0"/>
      <w:i w:val="0"/>
      <w:iCs w:val="0"/>
      <w:color w:val="E4AF0A"/>
      <w:u w:val="single"/>
    </w:rPr>
  </w:style>
  <w:style w:type="paragraph" w:styleId="Header">
    <w:name w:val="header"/>
    <w:basedOn w:val="Normal"/>
    <w:link w:val="HeaderChar"/>
    <w:uiPriority w:val="99"/>
    <w:unhideWhenUsed/>
    <w:rsid w:val="004345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4589"/>
  </w:style>
  <w:style w:type="paragraph" w:styleId="Footer">
    <w:name w:val="footer"/>
    <w:basedOn w:val="Normal"/>
    <w:link w:val="FooterChar"/>
    <w:uiPriority w:val="99"/>
    <w:unhideWhenUsed/>
    <w:rsid w:val="004345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4589"/>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full-story">
    <w:name w:val="full-story"/>
    <w:basedOn w:val="DefaultParagraphFont"/>
    <w:rsid w:val="00297587"/>
  </w:style>
  <w:style w:type="character" w:styleId="Strong">
    <w:name w:val="Strong"/>
    <w:basedOn w:val="DefaultParagraphFont"/>
    <w:uiPriority w:val="22"/>
    <w:qFormat/>
    <w:rsid w:val="00297587"/>
    <w:rPr>
      <w:b/>
      <w:bCs/>
    </w:rPr>
  </w:style>
  <w:style w:type="character" w:styleId="FollowedHyperlink">
    <w:name w:val="FollowedHyperlink"/>
    <w:basedOn w:val="DefaultParagraphFont"/>
    <w:uiPriority w:val="99"/>
    <w:semiHidden/>
    <w:unhideWhenUsed/>
    <w:rsid w:val="00DA7D9A"/>
    <w:rPr>
      <w:color w:val="954F72" w:themeColor="followedHyperlink"/>
      <w:u w:val="single"/>
    </w:rPr>
  </w:style>
  <w:style w:type="paragraph" w:customStyle="1" w:styleId="4GCharCharCharCharCharChar">
    <w:name w:val="4_G Char Char Char Char Char Char"/>
    <w:aliases w:val="Footnotes refss Char Char Char Char Char Char,ftref Char Char Char Char Char Char,BVI fnr Char Char Char Char Char Char,BVI fnr Car Car Char Char Char Char Char Char"/>
    <w:basedOn w:val="Normal"/>
    <w:link w:val="FootnoteReference"/>
    <w:uiPriority w:val="99"/>
    <w:rsid w:val="00417093"/>
    <w:pPr>
      <w:spacing w:line="240" w:lineRule="exact"/>
      <w:jc w:val="both"/>
    </w:pPr>
    <w:rPr>
      <w:vertAlign w:val="superscript"/>
    </w:rPr>
  </w:style>
  <w:style w:type="character" w:customStyle="1" w:styleId="markedcontent">
    <w:name w:val="markedcontent"/>
    <w:basedOn w:val="DefaultParagraphFont"/>
    <w:rsid w:val="00B23264"/>
  </w:style>
  <w:style w:type="character" w:customStyle="1" w:styleId="Heading1Char">
    <w:name w:val="Heading 1 Char"/>
    <w:basedOn w:val="DefaultParagraphFont"/>
    <w:link w:val="Heading1"/>
    <w:uiPriority w:val="9"/>
    <w:rsid w:val="00FD58EE"/>
    <w:rPr>
      <w:rFonts w:ascii="Verdana" w:eastAsiaTheme="majorEastAsia" w:hAnsi="Verdana" w:cstheme="majorBidi"/>
      <w:b/>
      <w:bCs/>
      <w:color w:val="2F5496" w:themeColor="accent1" w:themeShade="BF"/>
      <w:sz w:val="40"/>
      <w:szCs w:val="40"/>
    </w:rPr>
  </w:style>
  <w:style w:type="character" w:customStyle="1" w:styleId="Heading4Char">
    <w:name w:val="Heading 4 Char"/>
    <w:basedOn w:val="DefaultParagraphFont"/>
    <w:link w:val="Heading4"/>
    <w:uiPriority w:val="9"/>
    <w:semiHidden/>
    <w:rsid w:val="00D414E6"/>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FF0E69"/>
    <w:pPr>
      <w:spacing w:after="0" w:line="240" w:lineRule="auto"/>
    </w:pPr>
  </w:style>
  <w:style w:type="paragraph" w:styleId="CommentSubject">
    <w:name w:val="annotation subject"/>
    <w:basedOn w:val="CommentText"/>
    <w:next w:val="CommentText"/>
    <w:link w:val="CommentSubjectChar"/>
    <w:uiPriority w:val="99"/>
    <w:semiHidden/>
    <w:unhideWhenUsed/>
    <w:rsid w:val="00FF0E69"/>
    <w:rPr>
      <w:b/>
      <w:bCs/>
    </w:rPr>
  </w:style>
  <w:style w:type="character" w:customStyle="1" w:styleId="CommentSubjectChar">
    <w:name w:val="Comment Subject Char"/>
    <w:basedOn w:val="CommentTextChar"/>
    <w:link w:val="CommentSubject"/>
    <w:uiPriority w:val="99"/>
    <w:semiHidden/>
    <w:rsid w:val="00FF0E69"/>
    <w:rPr>
      <w:b/>
      <w:bCs/>
      <w:sz w:val="20"/>
      <w:szCs w:val="20"/>
    </w:rPr>
  </w:style>
  <w:style w:type="character" w:customStyle="1" w:styleId="Heading2Char">
    <w:name w:val="Heading 2 Char"/>
    <w:basedOn w:val="DefaultParagraphFont"/>
    <w:link w:val="Heading2"/>
    <w:uiPriority w:val="9"/>
    <w:rsid w:val="00F5696B"/>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DF012D"/>
    <w:pPr>
      <w:outlineLvl w:val="9"/>
    </w:pPr>
    <w:rPr>
      <w:rFonts w:asciiTheme="majorHAnsi" w:hAnsiTheme="majorHAnsi"/>
      <w:b w:val="0"/>
      <w:bCs w:val="0"/>
      <w:sz w:val="32"/>
      <w:szCs w:val="32"/>
      <w:lang w:eastAsia="en-IE"/>
    </w:rPr>
  </w:style>
  <w:style w:type="paragraph" w:styleId="TOC1">
    <w:name w:val="toc 1"/>
    <w:basedOn w:val="Normal"/>
    <w:next w:val="Normal"/>
    <w:autoRedefine/>
    <w:uiPriority w:val="39"/>
    <w:unhideWhenUsed/>
    <w:rsid w:val="00DF012D"/>
    <w:pPr>
      <w:spacing w:after="100"/>
    </w:pPr>
  </w:style>
  <w:style w:type="paragraph" w:styleId="TOC2">
    <w:name w:val="toc 2"/>
    <w:basedOn w:val="Normal"/>
    <w:next w:val="Normal"/>
    <w:autoRedefine/>
    <w:uiPriority w:val="39"/>
    <w:unhideWhenUsed/>
    <w:rsid w:val="00DF012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982698">
      <w:bodyDiv w:val="1"/>
      <w:marLeft w:val="0"/>
      <w:marRight w:val="0"/>
      <w:marTop w:val="0"/>
      <w:marBottom w:val="0"/>
      <w:divBdr>
        <w:top w:val="none" w:sz="0" w:space="0" w:color="auto"/>
        <w:left w:val="none" w:sz="0" w:space="0" w:color="auto"/>
        <w:bottom w:val="none" w:sz="0" w:space="0" w:color="auto"/>
        <w:right w:val="none" w:sz="0" w:space="0" w:color="auto"/>
      </w:divBdr>
    </w:div>
    <w:div w:id="278604712">
      <w:bodyDiv w:val="1"/>
      <w:marLeft w:val="0"/>
      <w:marRight w:val="0"/>
      <w:marTop w:val="0"/>
      <w:marBottom w:val="0"/>
      <w:divBdr>
        <w:top w:val="none" w:sz="0" w:space="0" w:color="auto"/>
        <w:left w:val="none" w:sz="0" w:space="0" w:color="auto"/>
        <w:bottom w:val="none" w:sz="0" w:space="0" w:color="auto"/>
        <w:right w:val="none" w:sz="0" w:space="0" w:color="auto"/>
      </w:divBdr>
    </w:div>
    <w:div w:id="305089136">
      <w:bodyDiv w:val="1"/>
      <w:marLeft w:val="0"/>
      <w:marRight w:val="0"/>
      <w:marTop w:val="0"/>
      <w:marBottom w:val="0"/>
      <w:divBdr>
        <w:top w:val="none" w:sz="0" w:space="0" w:color="auto"/>
        <w:left w:val="none" w:sz="0" w:space="0" w:color="auto"/>
        <w:bottom w:val="none" w:sz="0" w:space="0" w:color="auto"/>
        <w:right w:val="none" w:sz="0" w:space="0" w:color="auto"/>
      </w:divBdr>
      <w:divsChild>
        <w:div w:id="1645890276">
          <w:marLeft w:val="144"/>
          <w:marRight w:val="0"/>
          <w:marTop w:val="240"/>
          <w:marBottom w:val="40"/>
          <w:divBdr>
            <w:top w:val="none" w:sz="0" w:space="0" w:color="auto"/>
            <w:left w:val="none" w:sz="0" w:space="0" w:color="auto"/>
            <w:bottom w:val="none" w:sz="0" w:space="0" w:color="auto"/>
            <w:right w:val="none" w:sz="0" w:space="0" w:color="auto"/>
          </w:divBdr>
        </w:div>
        <w:div w:id="2014605090">
          <w:marLeft w:val="144"/>
          <w:marRight w:val="0"/>
          <w:marTop w:val="240"/>
          <w:marBottom w:val="40"/>
          <w:divBdr>
            <w:top w:val="none" w:sz="0" w:space="0" w:color="auto"/>
            <w:left w:val="none" w:sz="0" w:space="0" w:color="auto"/>
            <w:bottom w:val="none" w:sz="0" w:space="0" w:color="auto"/>
            <w:right w:val="none" w:sz="0" w:space="0" w:color="auto"/>
          </w:divBdr>
        </w:div>
        <w:div w:id="850947862">
          <w:marLeft w:val="144"/>
          <w:marRight w:val="0"/>
          <w:marTop w:val="240"/>
          <w:marBottom w:val="40"/>
          <w:divBdr>
            <w:top w:val="none" w:sz="0" w:space="0" w:color="auto"/>
            <w:left w:val="none" w:sz="0" w:space="0" w:color="auto"/>
            <w:bottom w:val="none" w:sz="0" w:space="0" w:color="auto"/>
            <w:right w:val="none" w:sz="0" w:space="0" w:color="auto"/>
          </w:divBdr>
        </w:div>
        <w:div w:id="1020007152">
          <w:marLeft w:val="144"/>
          <w:marRight w:val="0"/>
          <w:marTop w:val="240"/>
          <w:marBottom w:val="40"/>
          <w:divBdr>
            <w:top w:val="none" w:sz="0" w:space="0" w:color="auto"/>
            <w:left w:val="none" w:sz="0" w:space="0" w:color="auto"/>
            <w:bottom w:val="none" w:sz="0" w:space="0" w:color="auto"/>
            <w:right w:val="none" w:sz="0" w:space="0" w:color="auto"/>
          </w:divBdr>
        </w:div>
        <w:div w:id="667174405">
          <w:marLeft w:val="144"/>
          <w:marRight w:val="0"/>
          <w:marTop w:val="240"/>
          <w:marBottom w:val="40"/>
          <w:divBdr>
            <w:top w:val="none" w:sz="0" w:space="0" w:color="auto"/>
            <w:left w:val="none" w:sz="0" w:space="0" w:color="auto"/>
            <w:bottom w:val="none" w:sz="0" w:space="0" w:color="auto"/>
            <w:right w:val="none" w:sz="0" w:space="0" w:color="auto"/>
          </w:divBdr>
        </w:div>
        <w:div w:id="1758671033">
          <w:marLeft w:val="144"/>
          <w:marRight w:val="0"/>
          <w:marTop w:val="240"/>
          <w:marBottom w:val="40"/>
          <w:divBdr>
            <w:top w:val="none" w:sz="0" w:space="0" w:color="auto"/>
            <w:left w:val="none" w:sz="0" w:space="0" w:color="auto"/>
            <w:bottom w:val="none" w:sz="0" w:space="0" w:color="auto"/>
            <w:right w:val="none" w:sz="0" w:space="0" w:color="auto"/>
          </w:divBdr>
        </w:div>
        <w:div w:id="265888409">
          <w:marLeft w:val="144"/>
          <w:marRight w:val="0"/>
          <w:marTop w:val="240"/>
          <w:marBottom w:val="40"/>
          <w:divBdr>
            <w:top w:val="none" w:sz="0" w:space="0" w:color="auto"/>
            <w:left w:val="none" w:sz="0" w:space="0" w:color="auto"/>
            <w:bottom w:val="none" w:sz="0" w:space="0" w:color="auto"/>
            <w:right w:val="none" w:sz="0" w:space="0" w:color="auto"/>
          </w:divBdr>
        </w:div>
        <w:div w:id="989477752">
          <w:marLeft w:val="144"/>
          <w:marRight w:val="0"/>
          <w:marTop w:val="240"/>
          <w:marBottom w:val="40"/>
          <w:divBdr>
            <w:top w:val="none" w:sz="0" w:space="0" w:color="auto"/>
            <w:left w:val="none" w:sz="0" w:space="0" w:color="auto"/>
            <w:bottom w:val="none" w:sz="0" w:space="0" w:color="auto"/>
            <w:right w:val="none" w:sz="0" w:space="0" w:color="auto"/>
          </w:divBdr>
        </w:div>
      </w:divsChild>
    </w:div>
    <w:div w:id="328867595">
      <w:bodyDiv w:val="1"/>
      <w:marLeft w:val="0"/>
      <w:marRight w:val="0"/>
      <w:marTop w:val="0"/>
      <w:marBottom w:val="0"/>
      <w:divBdr>
        <w:top w:val="none" w:sz="0" w:space="0" w:color="auto"/>
        <w:left w:val="none" w:sz="0" w:space="0" w:color="auto"/>
        <w:bottom w:val="none" w:sz="0" w:space="0" w:color="auto"/>
        <w:right w:val="none" w:sz="0" w:space="0" w:color="auto"/>
      </w:divBdr>
    </w:div>
    <w:div w:id="496728617">
      <w:bodyDiv w:val="1"/>
      <w:marLeft w:val="0"/>
      <w:marRight w:val="0"/>
      <w:marTop w:val="0"/>
      <w:marBottom w:val="0"/>
      <w:divBdr>
        <w:top w:val="none" w:sz="0" w:space="0" w:color="auto"/>
        <w:left w:val="none" w:sz="0" w:space="0" w:color="auto"/>
        <w:bottom w:val="none" w:sz="0" w:space="0" w:color="auto"/>
        <w:right w:val="none" w:sz="0" w:space="0" w:color="auto"/>
      </w:divBdr>
    </w:div>
    <w:div w:id="528032867">
      <w:bodyDiv w:val="1"/>
      <w:marLeft w:val="0"/>
      <w:marRight w:val="0"/>
      <w:marTop w:val="0"/>
      <w:marBottom w:val="0"/>
      <w:divBdr>
        <w:top w:val="none" w:sz="0" w:space="0" w:color="auto"/>
        <w:left w:val="none" w:sz="0" w:space="0" w:color="auto"/>
        <w:bottom w:val="none" w:sz="0" w:space="0" w:color="auto"/>
        <w:right w:val="none" w:sz="0" w:space="0" w:color="auto"/>
      </w:divBdr>
    </w:div>
    <w:div w:id="553783768">
      <w:bodyDiv w:val="1"/>
      <w:marLeft w:val="0"/>
      <w:marRight w:val="0"/>
      <w:marTop w:val="0"/>
      <w:marBottom w:val="0"/>
      <w:divBdr>
        <w:top w:val="none" w:sz="0" w:space="0" w:color="auto"/>
        <w:left w:val="none" w:sz="0" w:space="0" w:color="auto"/>
        <w:bottom w:val="none" w:sz="0" w:space="0" w:color="auto"/>
        <w:right w:val="none" w:sz="0" w:space="0" w:color="auto"/>
      </w:divBdr>
    </w:div>
    <w:div w:id="622343112">
      <w:bodyDiv w:val="1"/>
      <w:marLeft w:val="0"/>
      <w:marRight w:val="0"/>
      <w:marTop w:val="0"/>
      <w:marBottom w:val="0"/>
      <w:divBdr>
        <w:top w:val="none" w:sz="0" w:space="0" w:color="auto"/>
        <w:left w:val="none" w:sz="0" w:space="0" w:color="auto"/>
        <w:bottom w:val="none" w:sz="0" w:space="0" w:color="auto"/>
        <w:right w:val="none" w:sz="0" w:space="0" w:color="auto"/>
      </w:divBdr>
      <w:divsChild>
        <w:div w:id="449513186">
          <w:marLeft w:val="144"/>
          <w:marRight w:val="0"/>
          <w:marTop w:val="240"/>
          <w:marBottom w:val="40"/>
          <w:divBdr>
            <w:top w:val="none" w:sz="0" w:space="0" w:color="auto"/>
            <w:left w:val="none" w:sz="0" w:space="0" w:color="auto"/>
            <w:bottom w:val="none" w:sz="0" w:space="0" w:color="auto"/>
            <w:right w:val="none" w:sz="0" w:space="0" w:color="auto"/>
          </w:divBdr>
        </w:div>
      </w:divsChild>
    </w:div>
    <w:div w:id="630675217">
      <w:bodyDiv w:val="1"/>
      <w:marLeft w:val="0"/>
      <w:marRight w:val="0"/>
      <w:marTop w:val="0"/>
      <w:marBottom w:val="0"/>
      <w:divBdr>
        <w:top w:val="none" w:sz="0" w:space="0" w:color="auto"/>
        <w:left w:val="none" w:sz="0" w:space="0" w:color="auto"/>
        <w:bottom w:val="none" w:sz="0" w:space="0" w:color="auto"/>
        <w:right w:val="none" w:sz="0" w:space="0" w:color="auto"/>
      </w:divBdr>
    </w:div>
    <w:div w:id="735862388">
      <w:bodyDiv w:val="1"/>
      <w:marLeft w:val="0"/>
      <w:marRight w:val="0"/>
      <w:marTop w:val="0"/>
      <w:marBottom w:val="0"/>
      <w:divBdr>
        <w:top w:val="none" w:sz="0" w:space="0" w:color="auto"/>
        <w:left w:val="none" w:sz="0" w:space="0" w:color="auto"/>
        <w:bottom w:val="none" w:sz="0" w:space="0" w:color="auto"/>
        <w:right w:val="none" w:sz="0" w:space="0" w:color="auto"/>
      </w:divBdr>
      <w:divsChild>
        <w:div w:id="1016034990">
          <w:marLeft w:val="144"/>
          <w:marRight w:val="0"/>
          <w:marTop w:val="240"/>
          <w:marBottom w:val="40"/>
          <w:divBdr>
            <w:top w:val="none" w:sz="0" w:space="0" w:color="auto"/>
            <w:left w:val="none" w:sz="0" w:space="0" w:color="auto"/>
            <w:bottom w:val="none" w:sz="0" w:space="0" w:color="auto"/>
            <w:right w:val="none" w:sz="0" w:space="0" w:color="auto"/>
          </w:divBdr>
        </w:div>
      </w:divsChild>
    </w:div>
    <w:div w:id="753284875">
      <w:bodyDiv w:val="1"/>
      <w:marLeft w:val="0"/>
      <w:marRight w:val="0"/>
      <w:marTop w:val="0"/>
      <w:marBottom w:val="0"/>
      <w:divBdr>
        <w:top w:val="none" w:sz="0" w:space="0" w:color="auto"/>
        <w:left w:val="none" w:sz="0" w:space="0" w:color="auto"/>
        <w:bottom w:val="none" w:sz="0" w:space="0" w:color="auto"/>
        <w:right w:val="none" w:sz="0" w:space="0" w:color="auto"/>
      </w:divBdr>
    </w:div>
    <w:div w:id="997534716">
      <w:bodyDiv w:val="1"/>
      <w:marLeft w:val="0"/>
      <w:marRight w:val="0"/>
      <w:marTop w:val="0"/>
      <w:marBottom w:val="0"/>
      <w:divBdr>
        <w:top w:val="none" w:sz="0" w:space="0" w:color="auto"/>
        <w:left w:val="none" w:sz="0" w:space="0" w:color="auto"/>
        <w:bottom w:val="none" w:sz="0" w:space="0" w:color="auto"/>
        <w:right w:val="none" w:sz="0" w:space="0" w:color="auto"/>
      </w:divBdr>
    </w:div>
    <w:div w:id="1036932875">
      <w:bodyDiv w:val="1"/>
      <w:marLeft w:val="0"/>
      <w:marRight w:val="0"/>
      <w:marTop w:val="0"/>
      <w:marBottom w:val="0"/>
      <w:divBdr>
        <w:top w:val="none" w:sz="0" w:space="0" w:color="auto"/>
        <w:left w:val="none" w:sz="0" w:space="0" w:color="auto"/>
        <w:bottom w:val="none" w:sz="0" w:space="0" w:color="auto"/>
        <w:right w:val="none" w:sz="0" w:space="0" w:color="auto"/>
      </w:divBdr>
    </w:div>
    <w:div w:id="1175997796">
      <w:bodyDiv w:val="1"/>
      <w:marLeft w:val="0"/>
      <w:marRight w:val="0"/>
      <w:marTop w:val="0"/>
      <w:marBottom w:val="0"/>
      <w:divBdr>
        <w:top w:val="none" w:sz="0" w:space="0" w:color="auto"/>
        <w:left w:val="none" w:sz="0" w:space="0" w:color="auto"/>
        <w:bottom w:val="none" w:sz="0" w:space="0" w:color="auto"/>
        <w:right w:val="none" w:sz="0" w:space="0" w:color="auto"/>
      </w:divBdr>
      <w:divsChild>
        <w:div w:id="1174880686">
          <w:marLeft w:val="0"/>
          <w:marRight w:val="0"/>
          <w:marTop w:val="0"/>
          <w:marBottom w:val="0"/>
          <w:divBdr>
            <w:top w:val="none" w:sz="0" w:space="0" w:color="auto"/>
            <w:left w:val="none" w:sz="0" w:space="0" w:color="auto"/>
            <w:bottom w:val="none" w:sz="0" w:space="0" w:color="auto"/>
            <w:right w:val="none" w:sz="0" w:space="0" w:color="auto"/>
          </w:divBdr>
          <w:divsChild>
            <w:div w:id="1474172587">
              <w:marLeft w:val="0"/>
              <w:marRight w:val="0"/>
              <w:marTop w:val="0"/>
              <w:marBottom w:val="0"/>
              <w:divBdr>
                <w:top w:val="none" w:sz="0" w:space="0" w:color="auto"/>
                <w:left w:val="none" w:sz="0" w:space="0" w:color="auto"/>
                <w:bottom w:val="none" w:sz="0" w:space="0" w:color="auto"/>
                <w:right w:val="none" w:sz="0" w:space="0" w:color="auto"/>
              </w:divBdr>
            </w:div>
            <w:div w:id="864758500">
              <w:marLeft w:val="0"/>
              <w:marRight w:val="0"/>
              <w:marTop w:val="0"/>
              <w:marBottom w:val="0"/>
              <w:divBdr>
                <w:top w:val="none" w:sz="0" w:space="0" w:color="auto"/>
                <w:left w:val="none" w:sz="0" w:space="0" w:color="auto"/>
                <w:bottom w:val="none" w:sz="0" w:space="0" w:color="auto"/>
                <w:right w:val="none" w:sz="0" w:space="0" w:color="auto"/>
              </w:divBdr>
            </w:div>
            <w:div w:id="23975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544379">
      <w:bodyDiv w:val="1"/>
      <w:marLeft w:val="0"/>
      <w:marRight w:val="0"/>
      <w:marTop w:val="0"/>
      <w:marBottom w:val="0"/>
      <w:divBdr>
        <w:top w:val="none" w:sz="0" w:space="0" w:color="auto"/>
        <w:left w:val="none" w:sz="0" w:space="0" w:color="auto"/>
        <w:bottom w:val="none" w:sz="0" w:space="0" w:color="auto"/>
        <w:right w:val="none" w:sz="0" w:space="0" w:color="auto"/>
      </w:divBdr>
    </w:div>
    <w:div w:id="1263682449">
      <w:bodyDiv w:val="1"/>
      <w:marLeft w:val="0"/>
      <w:marRight w:val="0"/>
      <w:marTop w:val="0"/>
      <w:marBottom w:val="0"/>
      <w:divBdr>
        <w:top w:val="none" w:sz="0" w:space="0" w:color="auto"/>
        <w:left w:val="none" w:sz="0" w:space="0" w:color="auto"/>
        <w:bottom w:val="none" w:sz="0" w:space="0" w:color="auto"/>
        <w:right w:val="none" w:sz="0" w:space="0" w:color="auto"/>
      </w:divBdr>
      <w:divsChild>
        <w:div w:id="883373252">
          <w:marLeft w:val="144"/>
          <w:marRight w:val="0"/>
          <w:marTop w:val="240"/>
          <w:marBottom w:val="40"/>
          <w:divBdr>
            <w:top w:val="none" w:sz="0" w:space="0" w:color="auto"/>
            <w:left w:val="none" w:sz="0" w:space="0" w:color="auto"/>
            <w:bottom w:val="none" w:sz="0" w:space="0" w:color="auto"/>
            <w:right w:val="none" w:sz="0" w:space="0" w:color="auto"/>
          </w:divBdr>
        </w:div>
      </w:divsChild>
    </w:div>
    <w:div w:id="1352487656">
      <w:bodyDiv w:val="1"/>
      <w:marLeft w:val="0"/>
      <w:marRight w:val="0"/>
      <w:marTop w:val="0"/>
      <w:marBottom w:val="0"/>
      <w:divBdr>
        <w:top w:val="none" w:sz="0" w:space="0" w:color="auto"/>
        <w:left w:val="none" w:sz="0" w:space="0" w:color="auto"/>
        <w:bottom w:val="none" w:sz="0" w:space="0" w:color="auto"/>
        <w:right w:val="none" w:sz="0" w:space="0" w:color="auto"/>
      </w:divBdr>
    </w:div>
    <w:div w:id="1353915454">
      <w:bodyDiv w:val="1"/>
      <w:marLeft w:val="0"/>
      <w:marRight w:val="0"/>
      <w:marTop w:val="0"/>
      <w:marBottom w:val="0"/>
      <w:divBdr>
        <w:top w:val="none" w:sz="0" w:space="0" w:color="auto"/>
        <w:left w:val="none" w:sz="0" w:space="0" w:color="auto"/>
        <w:bottom w:val="none" w:sz="0" w:space="0" w:color="auto"/>
        <w:right w:val="none" w:sz="0" w:space="0" w:color="auto"/>
      </w:divBdr>
    </w:div>
    <w:div w:id="1547906387">
      <w:bodyDiv w:val="1"/>
      <w:marLeft w:val="0"/>
      <w:marRight w:val="0"/>
      <w:marTop w:val="0"/>
      <w:marBottom w:val="0"/>
      <w:divBdr>
        <w:top w:val="none" w:sz="0" w:space="0" w:color="auto"/>
        <w:left w:val="none" w:sz="0" w:space="0" w:color="auto"/>
        <w:bottom w:val="none" w:sz="0" w:space="0" w:color="auto"/>
        <w:right w:val="none" w:sz="0" w:space="0" w:color="auto"/>
      </w:divBdr>
    </w:div>
    <w:div w:id="1554776767">
      <w:bodyDiv w:val="1"/>
      <w:marLeft w:val="0"/>
      <w:marRight w:val="0"/>
      <w:marTop w:val="0"/>
      <w:marBottom w:val="0"/>
      <w:divBdr>
        <w:top w:val="none" w:sz="0" w:space="0" w:color="auto"/>
        <w:left w:val="none" w:sz="0" w:space="0" w:color="auto"/>
        <w:bottom w:val="none" w:sz="0" w:space="0" w:color="auto"/>
        <w:right w:val="none" w:sz="0" w:space="0" w:color="auto"/>
      </w:divBdr>
    </w:div>
    <w:div w:id="1759058870">
      <w:bodyDiv w:val="1"/>
      <w:marLeft w:val="0"/>
      <w:marRight w:val="0"/>
      <w:marTop w:val="0"/>
      <w:marBottom w:val="0"/>
      <w:divBdr>
        <w:top w:val="none" w:sz="0" w:space="0" w:color="auto"/>
        <w:left w:val="none" w:sz="0" w:space="0" w:color="auto"/>
        <w:bottom w:val="none" w:sz="0" w:space="0" w:color="auto"/>
        <w:right w:val="none" w:sz="0" w:space="0" w:color="auto"/>
      </w:divBdr>
    </w:div>
    <w:div w:id="1875386516">
      <w:bodyDiv w:val="1"/>
      <w:marLeft w:val="0"/>
      <w:marRight w:val="0"/>
      <w:marTop w:val="0"/>
      <w:marBottom w:val="0"/>
      <w:divBdr>
        <w:top w:val="none" w:sz="0" w:space="0" w:color="auto"/>
        <w:left w:val="none" w:sz="0" w:space="0" w:color="auto"/>
        <w:bottom w:val="none" w:sz="0" w:space="0" w:color="auto"/>
        <w:right w:val="none" w:sz="0" w:space="0" w:color="auto"/>
      </w:divBdr>
    </w:div>
    <w:div w:id="1953240335">
      <w:bodyDiv w:val="1"/>
      <w:marLeft w:val="0"/>
      <w:marRight w:val="0"/>
      <w:marTop w:val="0"/>
      <w:marBottom w:val="0"/>
      <w:divBdr>
        <w:top w:val="none" w:sz="0" w:space="0" w:color="auto"/>
        <w:left w:val="none" w:sz="0" w:space="0" w:color="auto"/>
        <w:bottom w:val="none" w:sz="0" w:space="0" w:color="auto"/>
        <w:right w:val="none" w:sz="0" w:space="0" w:color="auto"/>
      </w:divBdr>
      <w:divsChild>
        <w:div w:id="2050910375">
          <w:marLeft w:val="547"/>
          <w:marRight w:val="0"/>
          <w:marTop w:val="0"/>
          <w:marBottom w:val="0"/>
          <w:divBdr>
            <w:top w:val="none" w:sz="0" w:space="0" w:color="auto"/>
            <w:left w:val="none" w:sz="0" w:space="0" w:color="auto"/>
            <w:bottom w:val="none" w:sz="0" w:space="0" w:color="auto"/>
            <w:right w:val="none" w:sz="0" w:space="0" w:color="auto"/>
          </w:divBdr>
        </w:div>
        <w:div w:id="1868789151">
          <w:marLeft w:val="547"/>
          <w:marRight w:val="0"/>
          <w:marTop w:val="0"/>
          <w:marBottom w:val="0"/>
          <w:divBdr>
            <w:top w:val="none" w:sz="0" w:space="0" w:color="auto"/>
            <w:left w:val="none" w:sz="0" w:space="0" w:color="auto"/>
            <w:bottom w:val="none" w:sz="0" w:space="0" w:color="auto"/>
            <w:right w:val="none" w:sz="0" w:space="0" w:color="auto"/>
          </w:divBdr>
        </w:div>
        <w:div w:id="2119835523">
          <w:marLeft w:val="547"/>
          <w:marRight w:val="0"/>
          <w:marTop w:val="0"/>
          <w:marBottom w:val="0"/>
          <w:divBdr>
            <w:top w:val="none" w:sz="0" w:space="0" w:color="auto"/>
            <w:left w:val="none" w:sz="0" w:space="0" w:color="auto"/>
            <w:bottom w:val="none" w:sz="0" w:space="0" w:color="auto"/>
            <w:right w:val="none" w:sz="0" w:space="0" w:color="auto"/>
          </w:divBdr>
        </w:div>
      </w:divsChild>
    </w:div>
    <w:div w:id="2039087583">
      <w:bodyDiv w:val="1"/>
      <w:marLeft w:val="0"/>
      <w:marRight w:val="0"/>
      <w:marTop w:val="0"/>
      <w:marBottom w:val="0"/>
      <w:divBdr>
        <w:top w:val="none" w:sz="0" w:space="0" w:color="auto"/>
        <w:left w:val="none" w:sz="0" w:space="0" w:color="auto"/>
        <w:bottom w:val="none" w:sz="0" w:space="0" w:color="auto"/>
        <w:right w:val="none" w:sz="0" w:space="0" w:color="auto"/>
      </w:divBdr>
      <w:divsChild>
        <w:div w:id="1658921052">
          <w:marLeft w:val="0"/>
          <w:marRight w:val="0"/>
          <w:marTop w:val="0"/>
          <w:marBottom w:val="0"/>
          <w:divBdr>
            <w:top w:val="none" w:sz="0" w:space="0" w:color="auto"/>
            <w:left w:val="none" w:sz="0" w:space="0" w:color="auto"/>
            <w:bottom w:val="none" w:sz="0" w:space="0" w:color="auto"/>
            <w:right w:val="none" w:sz="0" w:space="0" w:color="auto"/>
          </w:divBdr>
        </w:div>
      </w:divsChild>
    </w:div>
    <w:div w:id="2137024075">
      <w:bodyDiv w:val="1"/>
      <w:marLeft w:val="0"/>
      <w:marRight w:val="0"/>
      <w:marTop w:val="0"/>
      <w:marBottom w:val="0"/>
      <w:divBdr>
        <w:top w:val="none" w:sz="0" w:space="0" w:color="auto"/>
        <w:left w:val="none" w:sz="0" w:space="0" w:color="auto"/>
        <w:bottom w:val="none" w:sz="0" w:space="0" w:color="auto"/>
        <w:right w:val="none" w:sz="0" w:space="0" w:color="auto"/>
      </w:divBdr>
      <w:divsChild>
        <w:div w:id="1970891303">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udgeting.ie/download/pdf/mesl_impact_briefing_-_budget_2024.pdf" TargetMode="External"/><Relationship Id="rId18" Type="http://schemas.openxmlformats.org/officeDocument/2006/relationships/hyperlink" Target="tel:01-4547981"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hyperlink" Target="https://www.disability-federation.ie/publications/dfi-submission-on-green-paper-may-2024/" TargetMode="External"/><Relationship Id="rId17" Type="http://schemas.openxmlformats.org/officeDocument/2006/relationships/hyperlink" Target="tel:01-4547978"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yperlink" Target="http://www.disability-federation.i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disability-federation.ie/publications/epap-consultation-may-2024-dfi-submission/"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info@disability-federation.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ri.ie/sites/default/files/media/file-uploads/2023-10/SLIDES_Post%20Budget%20Briefing%202023_Doorley.pdf" TargetMode="External"/><Relationship Id="rId22" Type="http://schemas.openxmlformats.org/officeDocument/2006/relationships/header" Target="header1.xm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13" Type="http://schemas.openxmlformats.org/officeDocument/2006/relationships/hyperlink" Target="https://www.oecd.org/cfe/disability-work-and-inclusion-in-ireland-74b45baa-en.htm" TargetMode="External"/><Relationship Id="rId18" Type="http://schemas.openxmlformats.org/officeDocument/2006/relationships/hyperlink" Target="https://www.lenus.ie/bitstream/handle/10147/560531/strategyforequality.pdf?sequence=1&amp;isAllowed=y" TargetMode="External"/><Relationship Id="rId26" Type="http://schemas.openxmlformats.org/officeDocument/2006/relationships/hyperlink" Target="https://economy-finance.ec.europa.eu/document/download/9f14e528-de10-41aa-8b4d-01c5848784c8_en?filename=SWD_2024_607_1_EN_Ireland.pdf" TargetMode="External"/><Relationship Id="rId39" Type="http://schemas.openxmlformats.org/officeDocument/2006/relationships/hyperlink" Target="https://www.socialjustice.ie/system/files/file-uploads/2023-05/2023-05-29%20-%20Budget%202024%20Benchmarking%20and%20Indexation%20Final%20WEB.pdf" TargetMode="External"/><Relationship Id="rId21" Type="http://schemas.openxmlformats.org/officeDocument/2006/relationships/hyperlink" Target="https://www.disability-federation.ie/publications/dfi-submission-on-green-paper-may-2024/" TargetMode="External"/><Relationship Id="rId34" Type="http://schemas.openxmlformats.org/officeDocument/2006/relationships/hyperlink" Target="https://www.esri.ie/system/files/publications/JR1_1.pdf" TargetMode="External"/><Relationship Id="rId7" Type="http://schemas.openxmlformats.org/officeDocument/2006/relationships/hyperlink" Target="https://www.cso.ie/en/releasesandpublications/ep/p-wbsilc/well-being-surveyonincomeandlivingconditionssilc2023/keyfindings/" TargetMode="External"/><Relationship Id="rId2" Type="http://schemas.openxmlformats.org/officeDocument/2006/relationships/hyperlink" Target="https://www.disability-federation.ie/publications/epap-consultation-may-2024-dfi-submission/" TargetMode="External"/><Relationship Id="rId16" Type="http://schemas.openxmlformats.org/officeDocument/2006/relationships/hyperlink" Target="https://www.gov.ie/en/publication/1d84e-the-cost-of-disability-in-ireland-research-report/" TargetMode="External"/><Relationship Id="rId20" Type="http://schemas.openxmlformats.org/officeDocument/2006/relationships/hyperlink" Target="https://www.friendsoftheearth.ie/assets/files/pdf/joint_civil_society_submission_to_energy_poverty_action_plan_5.pdf" TargetMode="External"/><Relationship Id="rId29" Type="http://schemas.openxmlformats.org/officeDocument/2006/relationships/hyperlink" Target="https://ec.europa.eu/eurostat/statistics-explained/index.php?title=Comparative_price_levels_of_consumer_goods_and_services" TargetMode="External"/><Relationship Id="rId41" Type="http://schemas.openxmlformats.org/officeDocument/2006/relationships/hyperlink" Target="https://www.esri.ie/system/files/publications/QEC2022WIN_SA_DOOLAN.pdf" TargetMode="External"/><Relationship Id="rId1" Type="http://schemas.openxmlformats.org/officeDocument/2006/relationships/hyperlink" Target="https://www.budgeting.ie/publications/mesl-2024/" TargetMode="External"/><Relationship Id="rId6" Type="http://schemas.openxmlformats.org/officeDocument/2006/relationships/hyperlink" Target="https://www.cso.ie/en/releasesandpublications/ep/p-pihs/povertyindicatorsbyhealthstatus-surveyonincomeandlivingconditionssilc2023/keyfindings/" TargetMode="External"/><Relationship Id="rId11" Type="http://schemas.openxmlformats.org/officeDocument/2006/relationships/hyperlink" Target="https://www.edf-feph.org/majority-of-persons-with-disabilities-locked-out-of-quality-employment/" TargetMode="External"/><Relationship Id="rId24" Type="http://schemas.openxmlformats.org/officeDocument/2006/relationships/hyperlink" Target="https://visual.cso.ie/?body=entity/cpicalculator" TargetMode="External"/><Relationship Id="rId32" Type="http://schemas.openxmlformats.org/officeDocument/2006/relationships/hyperlink" Target="https://www.esri.ie/system/files/publications/RS183_1.pdf" TargetMode="External"/><Relationship Id="rId37" Type="http://schemas.openxmlformats.org/officeDocument/2006/relationships/hyperlink" Target="https://tbinternet.ohchr.org/_layouts/15/treatybodyexternal/Download.aspx?symbolno=E%2FC.12%2FIRL%2FCO%2F4&amp;Lang=en" TargetMode="External"/><Relationship Id="rId40" Type="http://schemas.openxmlformats.org/officeDocument/2006/relationships/hyperlink" Target="https://www.eapn.ie/wp-content/uploads/2023/06/EAPN-Ireland-input_Benchmarking-Working-Age-Payments_Final.pdf" TargetMode="External"/><Relationship Id="rId5" Type="http://schemas.openxmlformats.org/officeDocument/2006/relationships/hyperlink" Target="https://www.cso.ie/en/releasesandpublications/ep/p-silc/surveyonincomeandlivingconditionssilc2023/equivalisedincome/" TargetMode="External"/><Relationship Id="rId15" Type="http://schemas.openxmlformats.org/officeDocument/2006/relationships/hyperlink" Target="https://economy-finance.ec.europa.eu/document/download/9f14e528-de10-41aa-8b4d-01c5848784c8_en?filename=SWD_2024_607_1_EN_Ireland.pdf" TargetMode="External"/><Relationship Id="rId23" Type="http://schemas.openxmlformats.org/officeDocument/2006/relationships/hyperlink" Target="https://www.budgeting.ie/download/pdf/mesl_pre-budget_submission_2025.pdf" TargetMode="External"/><Relationship Id="rId28" Type="http://schemas.openxmlformats.org/officeDocument/2006/relationships/hyperlink" Target="https://commission.europa.eu/document/download/0b937573-bf5a-4b4c-8160-aa88f472527a_en?filename=com_2024_607_1_en.pdf" TargetMode="External"/><Relationship Id="rId36" Type="http://schemas.openxmlformats.org/officeDocument/2006/relationships/hyperlink" Target="https://www.disability-federation.ie/news/latest/2024/04/19/summary-of-the-concluding-observations-on-irelands/" TargetMode="External"/><Relationship Id="rId10" Type="http://schemas.openxmlformats.org/officeDocument/2006/relationships/hyperlink" Target="https://www.gov.ie/en/organisation-information/be955a-social-inclusion-division/?referrer=http://www.gov.ie/socialinclusion/" TargetMode="External"/><Relationship Id="rId19" Type="http://schemas.openxmlformats.org/officeDocument/2006/relationships/hyperlink" Target="https://www.social-protection.org/gimi/Media.action?id=19143" TargetMode="External"/><Relationship Id="rId31" Type="http://schemas.openxmlformats.org/officeDocument/2006/relationships/hyperlink" Target="https://www.esri.ie/system/files/publications/RS183_1.pdf" TargetMode="External"/><Relationship Id="rId4" Type="http://schemas.openxmlformats.org/officeDocument/2006/relationships/hyperlink" Target="https://www.cso.ie/en/releasesandpublications/ep/p-silc/surveyonincomeandlivingconditionssilc2023/poverty/" TargetMode="External"/><Relationship Id="rId9" Type="http://schemas.openxmlformats.org/officeDocument/2006/relationships/hyperlink" Target="https://economy-finance.ec.europa.eu/document/download/9f14e528-de10-41aa-8b4d-01c5848784c8_en?filename=SWD_2024_607_1_EN_Ireland.pdf" TargetMode="External"/><Relationship Id="rId14" Type="http://schemas.openxmlformats.org/officeDocument/2006/relationships/hyperlink" Target="https://nda.ie/publications/discussion-paper-on-new-disability-employment-targets" TargetMode="External"/><Relationship Id="rId22" Type="http://schemas.openxmlformats.org/officeDocument/2006/relationships/hyperlink" Target="https://www.budgeting.ie/download/pdf/mesl_2024_-_update_report.pdf" TargetMode="External"/><Relationship Id="rId27" Type="http://schemas.openxmlformats.org/officeDocument/2006/relationships/hyperlink" Target="https://www.eapn.ie/wp-content/uploads/2024/04/EAPN_Briefing_2023_Income_Poverty_Data.pdf" TargetMode="External"/><Relationship Id="rId30" Type="http://schemas.openxmlformats.org/officeDocument/2006/relationships/hyperlink" Target="https://www.disability-federation.ie/publications/dfis-pre-budget-submission-2024-to-the-dsp/" TargetMode="External"/><Relationship Id="rId35" Type="http://schemas.openxmlformats.org/officeDocument/2006/relationships/hyperlink" Target="https://www.esri.ie/system/files/publications/JR1_1.pdf" TargetMode="External"/><Relationship Id="rId8" Type="http://schemas.openxmlformats.org/officeDocument/2006/relationships/hyperlink" Target="https://www.gov.ie/en/publication/7e05d-programme-for-government-our-shared-future/" TargetMode="External"/><Relationship Id="rId3" Type="http://schemas.openxmlformats.org/officeDocument/2006/relationships/hyperlink" Target="https://ec.europa.eu/eurostat/databrowser/view/hlth_dpe010/default/table?lang=en" TargetMode="External"/><Relationship Id="rId12" Type="http://schemas.openxmlformats.org/officeDocument/2006/relationships/hyperlink" Target="https://www.oecd.org/employment/disability-work-and-inclusion-1eaa5e9c-en.htm" TargetMode="External"/><Relationship Id="rId17" Type="http://schemas.openxmlformats.org/officeDocument/2006/relationships/hyperlink" Target="https://visual.cso.ie/?body=entity/cpicalculator" TargetMode="External"/><Relationship Id="rId25" Type="http://schemas.openxmlformats.org/officeDocument/2006/relationships/hyperlink" Target="https://www.disability-federation.ie/publications/dfi-submission-on-green-paper-may-2024/" TargetMode="External"/><Relationship Id="rId33" Type="http://schemas.openxmlformats.org/officeDocument/2006/relationships/hyperlink" Target="https://www.esri.ie/system/files/publications/QEC2023WIN_SA_Doorley_2.pdf" TargetMode="External"/><Relationship Id="rId38" Type="http://schemas.openxmlformats.org/officeDocument/2006/relationships/hyperlink" Target="https://www.ihrec.ie/app/uploads/2023/02/Policy-Statement-on-the-Index-Linking-of-Welfare-Payments-Welfare-Index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0e25fb-e272-425b-adc5-9a2ce2e7ea7f">
      <Terms xmlns="http://schemas.microsoft.com/office/infopath/2007/PartnerControls"/>
    </lcf76f155ced4ddcb4097134ff3c332f>
    <TaxCatchAll xmlns="44ed1dcb-e838-4891-b37f-f3e1d29909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E221E4E010DBC488DD19889F55B4E56" ma:contentTypeVersion="18" ma:contentTypeDescription="Create a new document." ma:contentTypeScope="" ma:versionID="5d7f0ab36c8bfe049b3cdcf918d3e5fc">
  <xsd:schema xmlns:xsd="http://www.w3.org/2001/XMLSchema" xmlns:xs="http://www.w3.org/2001/XMLSchema" xmlns:p="http://schemas.microsoft.com/office/2006/metadata/properties" xmlns:ns2="c40e25fb-e272-425b-adc5-9a2ce2e7ea7f" xmlns:ns3="44ed1dcb-e838-4891-b37f-f3e1d2990902" targetNamespace="http://schemas.microsoft.com/office/2006/metadata/properties" ma:root="true" ma:fieldsID="5f910c65a1027dc46f66586e75b3c8ca" ns2:_="" ns3:_="">
    <xsd:import namespace="c40e25fb-e272-425b-adc5-9a2ce2e7ea7f"/>
    <xsd:import namespace="44ed1dcb-e838-4891-b37f-f3e1d29909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e25fb-e272-425b-adc5-9a2ce2e7ea7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09e6ef-7082-4406-b711-1de19b370e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ed1dcb-e838-4891-b37f-f3e1d29909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b0af1b1-28cf-40db-8b14-8d8c93c063f7}" ma:internalName="TaxCatchAll" ma:showField="CatchAllData" ma:web="44ed1dcb-e838-4891-b37f-f3e1d29909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BFFB09-C3BF-4E93-B6EB-A86EFA9A2668}">
  <ds:schemaRefs>
    <ds:schemaRef ds:uri="http://schemas.openxmlformats.org/package/2006/metadata/core-properties"/>
    <ds:schemaRef ds:uri="http://purl.org/dc/terms/"/>
    <ds:schemaRef ds:uri="http://purl.org/dc/elements/1.1/"/>
    <ds:schemaRef ds:uri="http://schemas.microsoft.com/office/2006/metadata/properties"/>
    <ds:schemaRef ds:uri="http://schemas.microsoft.com/office/infopath/2007/PartnerControls"/>
    <ds:schemaRef ds:uri="http://schemas.microsoft.com/office/2006/documentManagement/types"/>
    <ds:schemaRef ds:uri="c40e25fb-e272-425b-adc5-9a2ce2e7ea7f"/>
    <ds:schemaRef ds:uri="44ed1dcb-e838-4891-b37f-f3e1d2990902"/>
    <ds:schemaRef ds:uri="http://www.w3.org/XML/1998/namespace"/>
    <ds:schemaRef ds:uri="http://purl.org/dc/dcmitype/"/>
  </ds:schemaRefs>
</ds:datastoreItem>
</file>

<file path=customXml/itemProps2.xml><?xml version="1.0" encoding="utf-8"?>
<ds:datastoreItem xmlns:ds="http://schemas.openxmlformats.org/officeDocument/2006/customXml" ds:itemID="{A494D782-0932-49B9-8C7E-E47B309A78FB}">
  <ds:schemaRefs>
    <ds:schemaRef ds:uri="http://schemas.microsoft.com/sharepoint/v3/contenttype/forms"/>
  </ds:schemaRefs>
</ds:datastoreItem>
</file>

<file path=customXml/itemProps3.xml><?xml version="1.0" encoding="utf-8"?>
<ds:datastoreItem xmlns:ds="http://schemas.openxmlformats.org/officeDocument/2006/customXml" ds:itemID="{7F201421-9872-44DD-9A1F-A2A9F2267B0C}">
  <ds:schemaRefs>
    <ds:schemaRef ds:uri="http://schemas.openxmlformats.org/officeDocument/2006/bibliography"/>
  </ds:schemaRefs>
</ds:datastoreItem>
</file>

<file path=customXml/itemProps4.xml><?xml version="1.0" encoding="utf-8"?>
<ds:datastoreItem xmlns:ds="http://schemas.openxmlformats.org/officeDocument/2006/customXml" ds:itemID="{64D2693D-CD54-4D64-9F20-20C1A95C5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e25fb-e272-425b-adc5-9a2ce2e7ea7f"/>
    <ds:schemaRef ds:uri="44ed1dcb-e838-4891-b37f-f3e1d29909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7897</Words>
  <Characters>45013</Characters>
  <Application>Microsoft Office Word</Application>
  <DocSecurity>0</DocSecurity>
  <Lines>375</Lines>
  <Paragraphs>105</Paragraphs>
  <ScaleCrop>false</ScaleCrop>
  <Company/>
  <LinksUpToDate>false</LinksUpToDate>
  <CharactersWithSpaces>52805</CharactersWithSpaces>
  <SharedDoc>false</SharedDoc>
  <HLinks>
    <vt:vector size="360" baseType="variant">
      <vt:variant>
        <vt:i4>4915201</vt:i4>
      </vt:variant>
      <vt:variant>
        <vt:i4>24</vt:i4>
      </vt:variant>
      <vt:variant>
        <vt:i4>0</vt:i4>
      </vt:variant>
      <vt:variant>
        <vt:i4>5</vt:i4>
      </vt:variant>
      <vt:variant>
        <vt:lpwstr>http://www.disability-federation.ie/</vt:lpwstr>
      </vt:variant>
      <vt:variant>
        <vt:lpwstr/>
      </vt:variant>
      <vt:variant>
        <vt:i4>8126468</vt:i4>
      </vt:variant>
      <vt:variant>
        <vt:i4>21</vt:i4>
      </vt:variant>
      <vt:variant>
        <vt:i4>0</vt:i4>
      </vt:variant>
      <vt:variant>
        <vt:i4>5</vt:i4>
      </vt:variant>
      <vt:variant>
        <vt:lpwstr>mailto:info@disability-federation.ie</vt:lpwstr>
      </vt:variant>
      <vt:variant>
        <vt:lpwstr/>
      </vt:variant>
      <vt:variant>
        <vt:i4>6684735</vt:i4>
      </vt:variant>
      <vt:variant>
        <vt:i4>18</vt:i4>
      </vt:variant>
      <vt:variant>
        <vt:i4>0</vt:i4>
      </vt:variant>
      <vt:variant>
        <vt:i4>5</vt:i4>
      </vt:variant>
      <vt:variant>
        <vt:lpwstr>tel:01-4547981</vt:lpwstr>
      </vt:variant>
      <vt:variant>
        <vt:lpwstr/>
      </vt:variant>
      <vt:variant>
        <vt:i4>7274544</vt:i4>
      </vt:variant>
      <vt:variant>
        <vt:i4>15</vt:i4>
      </vt:variant>
      <vt:variant>
        <vt:i4>0</vt:i4>
      </vt:variant>
      <vt:variant>
        <vt:i4>5</vt:i4>
      </vt:variant>
      <vt:variant>
        <vt:lpwstr>tel:01-4547978</vt:lpwstr>
      </vt:variant>
      <vt:variant>
        <vt:lpwstr/>
      </vt:variant>
      <vt:variant>
        <vt:i4>6684772</vt:i4>
      </vt:variant>
      <vt:variant>
        <vt:i4>12</vt:i4>
      </vt:variant>
      <vt:variant>
        <vt:i4>0</vt:i4>
      </vt:variant>
      <vt:variant>
        <vt:i4>5</vt:i4>
      </vt:variant>
      <vt:variant>
        <vt:lpwstr>https://www.esri.ie/sites/default/files/media/file-uploads/2023-10/SLIDES_Post Budget Briefing 2023_Doorley.pdf</vt:lpwstr>
      </vt:variant>
      <vt:variant>
        <vt:lpwstr/>
      </vt:variant>
      <vt:variant>
        <vt:i4>2031635</vt:i4>
      </vt:variant>
      <vt:variant>
        <vt:i4>9</vt:i4>
      </vt:variant>
      <vt:variant>
        <vt:i4>0</vt:i4>
      </vt:variant>
      <vt:variant>
        <vt:i4>5</vt:i4>
      </vt:variant>
      <vt:variant>
        <vt:lpwstr>https://www.disability-federation.ie/publications/epap-consultation-may-2024-dfi-submission/</vt:lpwstr>
      </vt:variant>
      <vt:variant>
        <vt:lpwstr/>
      </vt:variant>
      <vt:variant>
        <vt:i4>6684772</vt:i4>
      </vt:variant>
      <vt:variant>
        <vt:i4>6</vt:i4>
      </vt:variant>
      <vt:variant>
        <vt:i4>0</vt:i4>
      </vt:variant>
      <vt:variant>
        <vt:i4>5</vt:i4>
      </vt:variant>
      <vt:variant>
        <vt:lpwstr>https://www.esri.ie/sites/default/files/media/file-uploads/2023-10/SLIDES_Post Budget Briefing 2023_Doorley.pdf</vt:lpwstr>
      </vt:variant>
      <vt:variant>
        <vt:lpwstr/>
      </vt:variant>
      <vt:variant>
        <vt:i4>4653153</vt:i4>
      </vt:variant>
      <vt:variant>
        <vt:i4>3</vt:i4>
      </vt:variant>
      <vt:variant>
        <vt:i4>0</vt:i4>
      </vt:variant>
      <vt:variant>
        <vt:i4>5</vt:i4>
      </vt:variant>
      <vt:variant>
        <vt:lpwstr>https://www.budgeting.ie/download/pdf/mesl_impact_briefing_-_budget_2024.pdf</vt:lpwstr>
      </vt:variant>
      <vt:variant>
        <vt:lpwstr/>
      </vt:variant>
      <vt:variant>
        <vt:i4>1376274</vt:i4>
      </vt:variant>
      <vt:variant>
        <vt:i4>0</vt:i4>
      </vt:variant>
      <vt:variant>
        <vt:i4>0</vt:i4>
      </vt:variant>
      <vt:variant>
        <vt:i4>5</vt:i4>
      </vt:variant>
      <vt:variant>
        <vt:lpwstr>https://www.disability-federation.ie/publications/dfi-submission-on-green-paper-may-2024/</vt:lpwstr>
      </vt:variant>
      <vt:variant>
        <vt:lpwstr/>
      </vt:variant>
      <vt:variant>
        <vt:i4>1310720</vt:i4>
      </vt:variant>
      <vt:variant>
        <vt:i4>150</vt:i4>
      </vt:variant>
      <vt:variant>
        <vt:i4>0</vt:i4>
      </vt:variant>
      <vt:variant>
        <vt:i4>5</vt:i4>
      </vt:variant>
      <vt:variant>
        <vt:lpwstr>https://www.esri.ie/system/files/publications/QEC2022WIN_SA_DOOLAN.pdf</vt:lpwstr>
      </vt:variant>
      <vt:variant>
        <vt:lpwstr/>
      </vt:variant>
      <vt:variant>
        <vt:i4>2359336</vt:i4>
      </vt:variant>
      <vt:variant>
        <vt:i4>147</vt:i4>
      </vt:variant>
      <vt:variant>
        <vt:i4>0</vt:i4>
      </vt:variant>
      <vt:variant>
        <vt:i4>5</vt:i4>
      </vt:variant>
      <vt:variant>
        <vt:lpwstr>https://data.oireachtas.ie/ie/oireachtas/committee/dail/33/joint_committee_on_gender_equality/reports/2022/2022-12-15_final-report-on-unfinished-democracy-achieving-gender-equality_en.pdf</vt:lpwstr>
      </vt:variant>
      <vt:variant>
        <vt:lpwstr/>
      </vt:variant>
      <vt:variant>
        <vt:i4>4390936</vt:i4>
      </vt:variant>
      <vt:variant>
        <vt:i4>144</vt:i4>
      </vt:variant>
      <vt:variant>
        <vt:i4>0</vt:i4>
      </vt:variant>
      <vt:variant>
        <vt:i4>5</vt:i4>
      </vt:variant>
      <vt:variant>
        <vt:lpwstr>https://www.eapn.ie/wp-content/uploads/2023/06/EAPN-Ireland-input_Benchmarking-Working-Age-Payments_Final.pdf</vt:lpwstr>
      </vt:variant>
      <vt:variant>
        <vt:lpwstr/>
      </vt:variant>
      <vt:variant>
        <vt:i4>4849755</vt:i4>
      </vt:variant>
      <vt:variant>
        <vt:i4>141</vt:i4>
      </vt:variant>
      <vt:variant>
        <vt:i4>0</vt:i4>
      </vt:variant>
      <vt:variant>
        <vt:i4>5</vt:i4>
      </vt:variant>
      <vt:variant>
        <vt:lpwstr>https://www.socialjustice.ie/system/files/file-uploads/2023-05/2023-05-29 - Budget 2024 Benchmarking and Indexation Final WEB.pdf</vt:lpwstr>
      </vt:variant>
      <vt:variant>
        <vt:lpwstr/>
      </vt:variant>
      <vt:variant>
        <vt:i4>4653085</vt:i4>
      </vt:variant>
      <vt:variant>
        <vt:i4>138</vt:i4>
      </vt:variant>
      <vt:variant>
        <vt:i4>0</vt:i4>
      </vt:variant>
      <vt:variant>
        <vt:i4>5</vt:i4>
      </vt:variant>
      <vt:variant>
        <vt:lpwstr>https://www.ihrec.ie/app/uploads/2023/02/Policy-Statement-on-the-Index-Linking-of-Welfare-Payments-Welfare-Indexation.pdf</vt:lpwstr>
      </vt:variant>
      <vt:variant>
        <vt:lpwstr/>
      </vt:variant>
      <vt:variant>
        <vt:i4>1441835</vt:i4>
      </vt:variant>
      <vt:variant>
        <vt:i4>135</vt:i4>
      </vt:variant>
      <vt:variant>
        <vt:i4>0</vt:i4>
      </vt:variant>
      <vt:variant>
        <vt:i4>5</vt:i4>
      </vt:variant>
      <vt:variant>
        <vt:lpwstr>https://tbinternet.ohchr.org/_layouts/15/treatybodyexternal/Download.aspx?symbolno=E%2FC.12%2FIRL%2FCO%2F4&amp;Lang=en</vt:lpwstr>
      </vt:variant>
      <vt:variant>
        <vt:lpwstr/>
      </vt:variant>
      <vt:variant>
        <vt:i4>7602276</vt:i4>
      </vt:variant>
      <vt:variant>
        <vt:i4>132</vt:i4>
      </vt:variant>
      <vt:variant>
        <vt:i4>0</vt:i4>
      </vt:variant>
      <vt:variant>
        <vt:i4>5</vt:i4>
      </vt:variant>
      <vt:variant>
        <vt:lpwstr>https://www.disability-federation.ie/news/latest/2024/04/19/summary-of-the-concluding-observations-on-irelands/</vt:lpwstr>
      </vt:variant>
      <vt:variant>
        <vt:lpwstr/>
      </vt:variant>
      <vt:variant>
        <vt:i4>5767293</vt:i4>
      </vt:variant>
      <vt:variant>
        <vt:i4>129</vt:i4>
      </vt:variant>
      <vt:variant>
        <vt:i4>0</vt:i4>
      </vt:variant>
      <vt:variant>
        <vt:i4>5</vt:i4>
      </vt:variant>
      <vt:variant>
        <vt:lpwstr>https://www.esri.ie/system/files/publications/JR1_1.pdf</vt:lpwstr>
      </vt:variant>
      <vt:variant>
        <vt:lpwstr/>
      </vt:variant>
      <vt:variant>
        <vt:i4>5767293</vt:i4>
      </vt:variant>
      <vt:variant>
        <vt:i4>126</vt:i4>
      </vt:variant>
      <vt:variant>
        <vt:i4>0</vt:i4>
      </vt:variant>
      <vt:variant>
        <vt:i4>5</vt:i4>
      </vt:variant>
      <vt:variant>
        <vt:lpwstr>https://www.esri.ie/system/files/publications/JR1_1.pdf</vt:lpwstr>
      </vt:variant>
      <vt:variant>
        <vt:lpwstr/>
      </vt:variant>
      <vt:variant>
        <vt:i4>131197</vt:i4>
      </vt:variant>
      <vt:variant>
        <vt:i4>123</vt:i4>
      </vt:variant>
      <vt:variant>
        <vt:i4>0</vt:i4>
      </vt:variant>
      <vt:variant>
        <vt:i4>5</vt:i4>
      </vt:variant>
      <vt:variant>
        <vt:lpwstr>https://www.esri.ie/system/files/publications/QEC2023WIN_SA_Doorley_2.pdf</vt:lpwstr>
      </vt:variant>
      <vt:variant>
        <vt:lpwstr/>
      </vt:variant>
      <vt:variant>
        <vt:i4>6357078</vt:i4>
      </vt:variant>
      <vt:variant>
        <vt:i4>120</vt:i4>
      </vt:variant>
      <vt:variant>
        <vt:i4>0</vt:i4>
      </vt:variant>
      <vt:variant>
        <vt:i4>5</vt:i4>
      </vt:variant>
      <vt:variant>
        <vt:lpwstr>https://www.esri.ie/system/files/publications/RS183_1.pdf</vt:lpwstr>
      </vt:variant>
      <vt:variant>
        <vt:lpwstr/>
      </vt:variant>
      <vt:variant>
        <vt:i4>6357078</vt:i4>
      </vt:variant>
      <vt:variant>
        <vt:i4>117</vt:i4>
      </vt:variant>
      <vt:variant>
        <vt:i4>0</vt:i4>
      </vt:variant>
      <vt:variant>
        <vt:i4>5</vt:i4>
      </vt:variant>
      <vt:variant>
        <vt:lpwstr>https://www.esri.ie/system/files/publications/RS183_1.pdf</vt:lpwstr>
      </vt:variant>
      <vt:variant>
        <vt:lpwstr/>
      </vt:variant>
      <vt:variant>
        <vt:i4>5111817</vt:i4>
      </vt:variant>
      <vt:variant>
        <vt:i4>114</vt:i4>
      </vt:variant>
      <vt:variant>
        <vt:i4>0</vt:i4>
      </vt:variant>
      <vt:variant>
        <vt:i4>5</vt:i4>
      </vt:variant>
      <vt:variant>
        <vt:lpwstr>https://www.disability-federation.ie/publications/dfis-pre-budget-submission-2024-to-the-dsp/</vt:lpwstr>
      </vt:variant>
      <vt:variant>
        <vt:lpwstr/>
      </vt:variant>
      <vt:variant>
        <vt:i4>8126556</vt:i4>
      </vt:variant>
      <vt:variant>
        <vt:i4>111</vt:i4>
      </vt:variant>
      <vt:variant>
        <vt:i4>0</vt:i4>
      </vt:variant>
      <vt:variant>
        <vt:i4>5</vt:i4>
      </vt:variant>
      <vt:variant>
        <vt:lpwstr>https://ec.europa.eu/eurostat/statistics-explained/index.php?title=Comparative_price_levels_of_consumer_goods_and_services</vt:lpwstr>
      </vt:variant>
      <vt:variant>
        <vt:lpwstr>Overall_price_levels</vt:lpwstr>
      </vt:variant>
      <vt:variant>
        <vt:i4>5308464</vt:i4>
      </vt:variant>
      <vt:variant>
        <vt:i4>108</vt:i4>
      </vt:variant>
      <vt:variant>
        <vt:i4>0</vt:i4>
      </vt:variant>
      <vt:variant>
        <vt:i4>5</vt:i4>
      </vt:variant>
      <vt:variant>
        <vt:lpwstr>https://commission.europa.eu/document/download/0b937573-bf5a-4b4c-8160-aa88f472527a_en?filename=com_2024_607_1_en.pdf</vt:lpwstr>
      </vt:variant>
      <vt:variant>
        <vt:lpwstr/>
      </vt:variant>
      <vt:variant>
        <vt:i4>4325480</vt:i4>
      </vt:variant>
      <vt:variant>
        <vt:i4>105</vt:i4>
      </vt:variant>
      <vt:variant>
        <vt:i4>0</vt:i4>
      </vt:variant>
      <vt:variant>
        <vt:i4>5</vt:i4>
      </vt:variant>
      <vt:variant>
        <vt:lpwstr>https://www.eapn.ie/wp-content/uploads/2024/04/EAPN_Briefing_2023_Income_Poverty_Data.pdf</vt:lpwstr>
      </vt:variant>
      <vt:variant>
        <vt:lpwstr/>
      </vt:variant>
      <vt:variant>
        <vt:i4>3080319</vt:i4>
      </vt:variant>
      <vt:variant>
        <vt:i4>102</vt:i4>
      </vt:variant>
      <vt:variant>
        <vt:i4>0</vt:i4>
      </vt:variant>
      <vt:variant>
        <vt:i4>5</vt:i4>
      </vt:variant>
      <vt:variant>
        <vt:lpwstr>https://economy-finance.ec.europa.eu/document/download/9f14e528-de10-41aa-8b4d-01c5848784c8_en?filename=SWD_2024_607_1_EN_Ireland.pdf</vt:lpwstr>
      </vt:variant>
      <vt:variant>
        <vt:lpwstr/>
      </vt:variant>
      <vt:variant>
        <vt:i4>786517</vt:i4>
      </vt:variant>
      <vt:variant>
        <vt:i4>99</vt:i4>
      </vt:variant>
      <vt:variant>
        <vt:i4>0</vt:i4>
      </vt:variant>
      <vt:variant>
        <vt:i4>5</vt:i4>
      </vt:variant>
      <vt:variant>
        <vt:lpwstr>https://visual.cso.ie/?body=entity/cpicalculator</vt:lpwstr>
      </vt:variant>
      <vt:variant>
        <vt:lpwstr/>
      </vt:variant>
      <vt:variant>
        <vt:i4>7798849</vt:i4>
      </vt:variant>
      <vt:variant>
        <vt:i4>96</vt:i4>
      </vt:variant>
      <vt:variant>
        <vt:i4>0</vt:i4>
      </vt:variant>
      <vt:variant>
        <vt:i4>5</vt:i4>
      </vt:variant>
      <vt:variant>
        <vt:lpwstr>https://www.budgeting.ie/download/pdf/mesl_pre-budget_submission_2025.pdf</vt:lpwstr>
      </vt:variant>
      <vt:variant>
        <vt:lpwstr/>
      </vt:variant>
      <vt:variant>
        <vt:i4>3538987</vt:i4>
      </vt:variant>
      <vt:variant>
        <vt:i4>93</vt:i4>
      </vt:variant>
      <vt:variant>
        <vt:i4>0</vt:i4>
      </vt:variant>
      <vt:variant>
        <vt:i4>5</vt:i4>
      </vt:variant>
      <vt:variant>
        <vt:lpwstr>https://www.budgeting.ie/download/pdf/mesl_2024_-_update_report.pdf</vt:lpwstr>
      </vt:variant>
      <vt:variant>
        <vt:lpwstr/>
      </vt:variant>
      <vt:variant>
        <vt:i4>7536680</vt:i4>
      </vt:variant>
      <vt:variant>
        <vt:i4>90</vt:i4>
      </vt:variant>
      <vt:variant>
        <vt:i4>0</vt:i4>
      </vt:variant>
      <vt:variant>
        <vt:i4>5</vt:i4>
      </vt:variant>
      <vt:variant>
        <vt:lpwstr>https://www.oireachtas.ie/en/debates/debate/dail/2022-07-06/8/</vt:lpwstr>
      </vt:variant>
      <vt:variant>
        <vt:lpwstr/>
      </vt:variant>
      <vt:variant>
        <vt:i4>2556013</vt:i4>
      </vt:variant>
      <vt:variant>
        <vt:i4>87</vt:i4>
      </vt:variant>
      <vt:variant>
        <vt:i4>0</vt:i4>
      </vt:variant>
      <vt:variant>
        <vt:i4>5</vt:i4>
      </vt:variant>
      <vt:variant>
        <vt:lpwstr>https://data.oireachtas.ie/ie/oireachtas/committee/dail/33/joint_committee_on_disability_matters/reports/2022/2022-03-10_report-on-ensuring-independent-living-and-the-united-nations-convention-on-the-rights-of-persons-with-disabilities_en.pdf</vt:lpwstr>
      </vt:variant>
      <vt:variant>
        <vt:lpwstr/>
      </vt:variant>
      <vt:variant>
        <vt:i4>3997760</vt:i4>
      </vt:variant>
      <vt:variant>
        <vt:i4>84</vt:i4>
      </vt:variant>
      <vt:variant>
        <vt:i4>0</vt:i4>
      </vt:variant>
      <vt:variant>
        <vt:i4>5</vt:i4>
      </vt:variant>
      <vt:variant>
        <vt:lpwstr>https://www.friendsoftheearth.ie/assets/files/pdf/joint_civil_society_submission_to_energy_poverty_action_plan_5.pdf</vt:lpwstr>
      </vt:variant>
      <vt:variant>
        <vt:lpwstr/>
      </vt:variant>
      <vt:variant>
        <vt:i4>4849740</vt:i4>
      </vt:variant>
      <vt:variant>
        <vt:i4>81</vt:i4>
      </vt:variant>
      <vt:variant>
        <vt:i4>0</vt:i4>
      </vt:variant>
      <vt:variant>
        <vt:i4>5</vt:i4>
      </vt:variant>
      <vt:variant>
        <vt:lpwstr>https://www.social-protection.org/gimi/Media.action?id=19143</vt:lpwstr>
      </vt:variant>
      <vt:variant>
        <vt:lpwstr/>
      </vt:variant>
      <vt:variant>
        <vt:i4>131161</vt:i4>
      </vt:variant>
      <vt:variant>
        <vt:i4>78</vt:i4>
      </vt:variant>
      <vt:variant>
        <vt:i4>0</vt:i4>
      </vt:variant>
      <vt:variant>
        <vt:i4>5</vt:i4>
      </vt:variant>
      <vt:variant>
        <vt:lpwstr>https://www.lenus.ie/bitstream/handle/10147/560531/strategyforequality.pdf?sequence=1&amp;isAllowed=y</vt:lpwstr>
      </vt:variant>
      <vt:variant>
        <vt:lpwstr/>
      </vt:variant>
      <vt:variant>
        <vt:i4>786517</vt:i4>
      </vt:variant>
      <vt:variant>
        <vt:i4>75</vt:i4>
      </vt:variant>
      <vt:variant>
        <vt:i4>0</vt:i4>
      </vt:variant>
      <vt:variant>
        <vt:i4>5</vt:i4>
      </vt:variant>
      <vt:variant>
        <vt:lpwstr>https://visual.cso.ie/?body=entity/cpicalculator</vt:lpwstr>
      </vt:variant>
      <vt:variant>
        <vt:lpwstr/>
      </vt:variant>
      <vt:variant>
        <vt:i4>2359349</vt:i4>
      </vt:variant>
      <vt:variant>
        <vt:i4>72</vt:i4>
      </vt:variant>
      <vt:variant>
        <vt:i4>0</vt:i4>
      </vt:variant>
      <vt:variant>
        <vt:i4>5</vt:i4>
      </vt:variant>
      <vt:variant>
        <vt:lpwstr>https://www.gov.ie/en/publication/1d84e-the-cost-of-disability-in-ireland-research-report/</vt:lpwstr>
      </vt:variant>
      <vt:variant>
        <vt:lpwstr/>
      </vt:variant>
      <vt:variant>
        <vt:i4>3080319</vt:i4>
      </vt:variant>
      <vt:variant>
        <vt:i4>69</vt:i4>
      </vt:variant>
      <vt:variant>
        <vt:i4>0</vt:i4>
      </vt:variant>
      <vt:variant>
        <vt:i4>5</vt:i4>
      </vt:variant>
      <vt:variant>
        <vt:lpwstr>https://economy-finance.ec.europa.eu/document/download/9f14e528-de10-41aa-8b4d-01c5848784c8_en?filename=SWD_2024_607_1_EN_Ireland.pdf</vt:lpwstr>
      </vt:variant>
      <vt:variant>
        <vt:lpwstr/>
      </vt:variant>
      <vt:variant>
        <vt:i4>6094940</vt:i4>
      </vt:variant>
      <vt:variant>
        <vt:i4>66</vt:i4>
      </vt:variant>
      <vt:variant>
        <vt:i4>0</vt:i4>
      </vt:variant>
      <vt:variant>
        <vt:i4>5</vt:i4>
      </vt:variant>
      <vt:variant>
        <vt:lpwstr>https://nda.ie/publications/discussion-paper-on-new-disability-employment-targets</vt:lpwstr>
      </vt:variant>
      <vt:variant>
        <vt:lpwstr/>
      </vt:variant>
      <vt:variant>
        <vt:i4>5963794</vt:i4>
      </vt:variant>
      <vt:variant>
        <vt:i4>63</vt:i4>
      </vt:variant>
      <vt:variant>
        <vt:i4>0</vt:i4>
      </vt:variant>
      <vt:variant>
        <vt:i4>5</vt:i4>
      </vt:variant>
      <vt:variant>
        <vt:lpwstr>https://www.oecd.org/cfe/disability-work-and-inclusion-in-ireland-74b45baa-en.htm</vt:lpwstr>
      </vt:variant>
      <vt:variant>
        <vt:lpwstr/>
      </vt:variant>
      <vt:variant>
        <vt:i4>196632</vt:i4>
      </vt:variant>
      <vt:variant>
        <vt:i4>60</vt:i4>
      </vt:variant>
      <vt:variant>
        <vt:i4>0</vt:i4>
      </vt:variant>
      <vt:variant>
        <vt:i4>5</vt:i4>
      </vt:variant>
      <vt:variant>
        <vt:lpwstr>https://www.oecd.org/employment/disability-work-and-inclusion-1eaa5e9c-en.htm</vt:lpwstr>
      </vt:variant>
      <vt:variant>
        <vt:lpwstr/>
      </vt:variant>
      <vt:variant>
        <vt:i4>4390939</vt:i4>
      </vt:variant>
      <vt:variant>
        <vt:i4>57</vt:i4>
      </vt:variant>
      <vt:variant>
        <vt:i4>0</vt:i4>
      </vt:variant>
      <vt:variant>
        <vt:i4>5</vt:i4>
      </vt:variant>
      <vt:variant>
        <vt:lpwstr>https://www.edf-feph.org/majority-of-persons-with-disabilities-locked-out-of-quality-employment/</vt:lpwstr>
      </vt:variant>
      <vt:variant>
        <vt:lpwstr/>
      </vt:variant>
      <vt:variant>
        <vt:i4>4718617</vt:i4>
      </vt:variant>
      <vt:variant>
        <vt:i4>54</vt:i4>
      </vt:variant>
      <vt:variant>
        <vt:i4>0</vt:i4>
      </vt:variant>
      <vt:variant>
        <vt:i4>5</vt:i4>
      </vt:variant>
      <vt:variant>
        <vt:lpwstr>https://www.gov.ie/en/organisation-information/be955a-social-inclusion-division/?referrer=http://www.gov.ie/socialinclusion/</vt:lpwstr>
      </vt:variant>
      <vt:variant>
        <vt:lpwstr/>
      </vt:variant>
      <vt:variant>
        <vt:i4>3080319</vt:i4>
      </vt:variant>
      <vt:variant>
        <vt:i4>51</vt:i4>
      </vt:variant>
      <vt:variant>
        <vt:i4>0</vt:i4>
      </vt:variant>
      <vt:variant>
        <vt:i4>5</vt:i4>
      </vt:variant>
      <vt:variant>
        <vt:lpwstr>https://economy-finance.ec.europa.eu/document/download/9f14e528-de10-41aa-8b4d-01c5848784c8_en?filename=SWD_2024_607_1_EN_Ireland.pdf</vt:lpwstr>
      </vt:variant>
      <vt:variant>
        <vt:lpwstr/>
      </vt:variant>
      <vt:variant>
        <vt:i4>3407997</vt:i4>
      </vt:variant>
      <vt:variant>
        <vt:i4>48</vt:i4>
      </vt:variant>
      <vt:variant>
        <vt:i4>0</vt:i4>
      </vt:variant>
      <vt:variant>
        <vt:i4>5</vt:i4>
      </vt:variant>
      <vt:variant>
        <vt:lpwstr>https://www.gov.ie/en/publication/7e05d-programme-for-government-our-shared-future/</vt:lpwstr>
      </vt:variant>
      <vt:variant>
        <vt:lpwstr/>
      </vt:variant>
      <vt:variant>
        <vt:i4>2228268</vt:i4>
      </vt:variant>
      <vt:variant>
        <vt:i4>45</vt:i4>
      </vt:variant>
      <vt:variant>
        <vt:i4>0</vt:i4>
      </vt:variant>
      <vt:variant>
        <vt:i4>5</vt:i4>
      </vt:variant>
      <vt:variant>
        <vt:lpwstr>https://www.cso.ie/en/releasesandpublications/ep/p-wbsilc/well-being-surveyonincomeandlivingconditionssilc2023/keyfindings/</vt:lpwstr>
      </vt:variant>
      <vt:variant>
        <vt:lpwstr/>
      </vt:variant>
      <vt:variant>
        <vt:i4>6750318</vt:i4>
      </vt:variant>
      <vt:variant>
        <vt:i4>42</vt:i4>
      </vt:variant>
      <vt:variant>
        <vt:i4>0</vt:i4>
      </vt:variant>
      <vt:variant>
        <vt:i4>5</vt:i4>
      </vt:variant>
      <vt:variant>
        <vt:lpwstr>https://www.cso.ie/en/releasesandpublications/ep/p-pihs/povertyindicatorsbyhealthstatus-surveyonincomeandlivingconditionssilc2023/keyfindings/</vt:lpwstr>
      </vt:variant>
      <vt:variant>
        <vt:lpwstr/>
      </vt:variant>
      <vt:variant>
        <vt:i4>5373977</vt:i4>
      </vt:variant>
      <vt:variant>
        <vt:i4>39</vt:i4>
      </vt:variant>
      <vt:variant>
        <vt:i4>0</vt:i4>
      </vt:variant>
      <vt:variant>
        <vt:i4>5</vt:i4>
      </vt:variant>
      <vt:variant>
        <vt:lpwstr>https://www.cso.ie/en/releasesandpublications/ep/p-silc/surveyonincomeandlivingconditionssilc2023/equivalisedincome/</vt:lpwstr>
      </vt:variant>
      <vt:variant>
        <vt:lpwstr/>
      </vt:variant>
      <vt:variant>
        <vt:i4>5373977</vt:i4>
      </vt:variant>
      <vt:variant>
        <vt:i4>36</vt:i4>
      </vt:variant>
      <vt:variant>
        <vt:i4>0</vt:i4>
      </vt:variant>
      <vt:variant>
        <vt:i4>5</vt:i4>
      </vt:variant>
      <vt:variant>
        <vt:lpwstr>https://www.cso.ie/en/releasesandpublications/ep/p-silc/surveyonincomeandlivingconditionssilc2023/equivalisedincome/</vt:lpwstr>
      </vt:variant>
      <vt:variant>
        <vt:lpwstr/>
      </vt:variant>
      <vt:variant>
        <vt:i4>4063341</vt:i4>
      </vt:variant>
      <vt:variant>
        <vt:i4>33</vt:i4>
      </vt:variant>
      <vt:variant>
        <vt:i4>0</vt:i4>
      </vt:variant>
      <vt:variant>
        <vt:i4>5</vt:i4>
      </vt:variant>
      <vt:variant>
        <vt:lpwstr>https://www.cso.ie/en/releasesandpublications/ep/p-silc/surveyonincomeandlivingconditionssilc2023/poverty/</vt:lpwstr>
      </vt:variant>
      <vt:variant>
        <vt:lpwstr/>
      </vt:variant>
      <vt:variant>
        <vt:i4>786517</vt:i4>
      </vt:variant>
      <vt:variant>
        <vt:i4>30</vt:i4>
      </vt:variant>
      <vt:variant>
        <vt:i4>0</vt:i4>
      </vt:variant>
      <vt:variant>
        <vt:i4>5</vt:i4>
      </vt:variant>
      <vt:variant>
        <vt:lpwstr>https://visual.cso.ie/?body=entity/cpicalculator</vt:lpwstr>
      </vt:variant>
      <vt:variant>
        <vt:lpwstr/>
      </vt:variant>
      <vt:variant>
        <vt:i4>2555917</vt:i4>
      </vt:variant>
      <vt:variant>
        <vt:i4>27</vt:i4>
      </vt:variant>
      <vt:variant>
        <vt:i4>0</vt:i4>
      </vt:variant>
      <vt:variant>
        <vt:i4>5</vt:i4>
      </vt:variant>
      <vt:variant>
        <vt:lpwstr>https://ec.europa.eu/eurostat/databrowser/view/hlth_dpe010/default/table?lang=en</vt:lpwstr>
      </vt:variant>
      <vt:variant>
        <vt:lpwstr/>
      </vt:variant>
      <vt:variant>
        <vt:i4>2031689</vt:i4>
      </vt:variant>
      <vt:variant>
        <vt:i4>24</vt:i4>
      </vt:variant>
      <vt:variant>
        <vt:i4>0</vt:i4>
      </vt:variant>
      <vt:variant>
        <vt:i4>5</vt:i4>
      </vt:variant>
      <vt:variant>
        <vt:lpwstr>https://www.budgeting.ie/publications/mesl-2023/</vt:lpwstr>
      </vt:variant>
      <vt:variant>
        <vt:lpwstr/>
      </vt:variant>
      <vt:variant>
        <vt:i4>2031635</vt:i4>
      </vt:variant>
      <vt:variant>
        <vt:i4>21</vt:i4>
      </vt:variant>
      <vt:variant>
        <vt:i4>0</vt:i4>
      </vt:variant>
      <vt:variant>
        <vt:i4>5</vt:i4>
      </vt:variant>
      <vt:variant>
        <vt:lpwstr>https://www.disability-federation.ie/publications/epap-consultation-may-2024-dfi-submission/</vt:lpwstr>
      </vt:variant>
      <vt:variant>
        <vt:lpwstr/>
      </vt:variant>
      <vt:variant>
        <vt:i4>1572889</vt:i4>
      </vt:variant>
      <vt:variant>
        <vt:i4>18</vt:i4>
      </vt:variant>
      <vt:variant>
        <vt:i4>0</vt:i4>
      </vt:variant>
      <vt:variant>
        <vt:i4>5</vt:i4>
      </vt:variant>
      <vt:variant>
        <vt:lpwstr>https://ec.europa.eu/eurostat/statistics-explained/index.php?title=Disability_statistics_-_poverty_and_income_inequalities&amp;oldid=561947</vt:lpwstr>
      </vt:variant>
      <vt:variant>
        <vt:lpwstr>At_risk_of_poverty_or_social_exclusion</vt:lpwstr>
      </vt:variant>
      <vt:variant>
        <vt:i4>4784138</vt:i4>
      </vt:variant>
      <vt:variant>
        <vt:i4>15</vt:i4>
      </vt:variant>
      <vt:variant>
        <vt:i4>0</vt:i4>
      </vt:variant>
      <vt:variant>
        <vt:i4>5</vt:i4>
      </vt:variant>
      <vt:variant>
        <vt:lpwstr>https://www.citizensassembly.ie/en/about-the-citizens-assembly/report-of-the-citizens-assembly-on-gender-equality.pdf</vt:lpwstr>
      </vt:variant>
      <vt:variant>
        <vt:lpwstr/>
      </vt:variant>
      <vt:variant>
        <vt:i4>7536680</vt:i4>
      </vt:variant>
      <vt:variant>
        <vt:i4>12</vt:i4>
      </vt:variant>
      <vt:variant>
        <vt:i4>0</vt:i4>
      </vt:variant>
      <vt:variant>
        <vt:i4>5</vt:i4>
      </vt:variant>
      <vt:variant>
        <vt:lpwstr>https://www.oireachtas.ie/en/debates/debate/dail/2022-07-06/8/</vt:lpwstr>
      </vt:variant>
      <vt:variant>
        <vt:lpwstr/>
      </vt:variant>
      <vt:variant>
        <vt:i4>2556013</vt:i4>
      </vt:variant>
      <vt:variant>
        <vt:i4>9</vt:i4>
      </vt:variant>
      <vt:variant>
        <vt:i4>0</vt:i4>
      </vt:variant>
      <vt:variant>
        <vt:i4>5</vt:i4>
      </vt:variant>
      <vt:variant>
        <vt:lpwstr>https://data.oireachtas.ie/ie/oireachtas/committee/dail/33/joint_committee_on_disability_matters/reports/2022/2022-03-10_report-on-ensuring-independent-living-and-the-united-nations-convention-on-the-rights-of-persons-with-disabilities_en.pdf</vt:lpwstr>
      </vt:variant>
      <vt:variant>
        <vt:lpwstr/>
      </vt:variant>
      <vt:variant>
        <vt:i4>917571</vt:i4>
      </vt:variant>
      <vt:variant>
        <vt:i4>6</vt:i4>
      </vt:variant>
      <vt:variant>
        <vt:i4>0</vt:i4>
      </vt:variant>
      <vt:variant>
        <vt:i4>5</vt:i4>
      </vt:variant>
      <vt:variant>
        <vt:lpwstr>https://www.edf-feph.org/publications/human-rights-report-2023-the-right-to-work/</vt:lpwstr>
      </vt:variant>
      <vt:variant>
        <vt:lpwstr/>
      </vt:variant>
      <vt:variant>
        <vt:i4>2555917</vt:i4>
      </vt:variant>
      <vt:variant>
        <vt:i4>3</vt:i4>
      </vt:variant>
      <vt:variant>
        <vt:i4>0</vt:i4>
      </vt:variant>
      <vt:variant>
        <vt:i4>5</vt:i4>
      </vt:variant>
      <vt:variant>
        <vt:lpwstr>https://ec.europa.eu/eurostat/databrowser/view/hlth_dpe010/default/table?lang=en</vt:lpwstr>
      </vt:variant>
      <vt:variant>
        <vt:lpwstr/>
      </vt:variant>
      <vt:variant>
        <vt:i4>4718617</vt:i4>
      </vt:variant>
      <vt:variant>
        <vt:i4>0</vt:i4>
      </vt:variant>
      <vt:variant>
        <vt:i4>0</vt:i4>
      </vt:variant>
      <vt:variant>
        <vt:i4>5</vt:i4>
      </vt:variant>
      <vt:variant>
        <vt:lpwstr>https://www.gov.ie/en/organisation-information/be955a-social-inclusion-division/?referrer=http://www.gov.ie/socialinclusion/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Fleachta Phelan</dc:creator>
  <cp:keywords/>
  <dc:description/>
  <cp:lastModifiedBy>Fleachta Phelan</cp:lastModifiedBy>
  <cp:revision>13</cp:revision>
  <dcterms:created xsi:type="dcterms:W3CDTF">2024-07-05T09:52:00Z</dcterms:created>
  <dcterms:modified xsi:type="dcterms:W3CDTF">2024-07-05T10:00:00Z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0x0101001E221E4E010DBC488DD19889F55B4E56</vt:lpwstr>
  </property>
  <property fmtid="{D5CDD505-2E9C-101B-9397-08002B2CF9AE}" pid="3" name="MediaServiceImageTags">
    <vt:lpwstr/>
  </property>
</Properties>
</file>